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F26CC" w14:textId="77777777" w:rsidR="009F2F9A" w:rsidRDefault="009F2F9A">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b"/>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4"/>
        <w:gridCol w:w="1184"/>
        <w:gridCol w:w="983"/>
        <w:gridCol w:w="2102"/>
        <w:gridCol w:w="1567"/>
        <w:gridCol w:w="803"/>
        <w:gridCol w:w="880"/>
        <w:gridCol w:w="943"/>
        <w:gridCol w:w="536"/>
        <w:gridCol w:w="9"/>
      </w:tblGrid>
      <w:tr w:rsidR="00381407" w14:paraId="38028323" w14:textId="77777777">
        <w:trPr>
          <w:gridAfter w:val="1"/>
          <w:wAfter w:w="9" w:type="dxa"/>
          <w:trHeight w:val="397"/>
          <w:jc w:val="center"/>
        </w:trPr>
        <w:tc>
          <w:tcPr>
            <w:tcW w:w="1524" w:type="dxa"/>
            <w:vMerge w:val="restart"/>
            <w:shd w:val="clear" w:color="auto" w:fill="D9D9D9"/>
            <w:vAlign w:val="center"/>
          </w:tcPr>
          <w:p w14:paraId="09003F0C" w14:textId="77777777" w:rsidR="00381407" w:rsidRDefault="00381407" w:rsidP="00381407">
            <w:pPr>
              <w:pBdr>
                <w:top w:val="nil"/>
                <w:left w:val="nil"/>
                <w:bottom w:val="nil"/>
                <w:right w:val="nil"/>
                <w:between w:val="nil"/>
              </w:pBdr>
              <w:spacing w:after="0" w:line="240" w:lineRule="auto"/>
              <w:rPr>
                <w:b/>
                <w:bCs/>
                <w:color w:val="000000"/>
              </w:rPr>
            </w:pPr>
            <w:r>
              <w:rPr>
                <w:b/>
                <w:bCs/>
                <w:color w:val="000000"/>
              </w:rPr>
              <w:t>Faculty Information</w:t>
            </w:r>
          </w:p>
        </w:tc>
        <w:tc>
          <w:tcPr>
            <w:tcW w:w="2167" w:type="dxa"/>
            <w:gridSpan w:val="2"/>
            <w:shd w:val="clear" w:color="auto" w:fill="EDEDED"/>
            <w:vAlign w:val="center"/>
          </w:tcPr>
          <w:p w14:paraId="697F6827"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tcPr>
          <w:p w14:paraId="57CB943B" w14:textId="42D09D17" w:rsidR="00381407" w:rsidRDefault="00381407" w:rsidP="00381407">
            <w:pPr>
              <w:pBdr>
                <w:top w:val="nil"/>
                <w:left w:val="nil"/>
                <w:bottom w:val="nil"/>
                <w:right w:val="nil"/>
                <w:between w:val="nil"/>
              </w:pBdr>
              <w:spacing w:after="0" w:line="240" w:lineRule="auto"/>
              <w:rPr>
                <w:color w:val="000000"/>
              </w:rPr>
            </w:pPr>
            <w:r>
              <w:rPr>
                <w:rFonts w:hint="eastAsia"/>
                <w:color w:val="000000"/>
              </w:rPr>
              <w:t>M.K. Kim</w:t>
            </w:r>
          </w:p>
        </w:tc>
      </w:tr>
      <w:tr w:rsidR="00381407" w14:paraId="7D80DA1B" w14:textId="77777777">
        <w:trPr>
          <w:gridAfter w:val="1"/>
          <w:wAfter w:w="9" w:type="dxa"/>
          <w:trHeight w:val="397"/>
          <w:jc w:val="center"/>
        </w:trPr>
        <w:tc>
          <w:tcPr>
            <w:tcW w:w="1524" w:type="dxa"/>
            <w:vMerge/>
            <w:shd w:val="clear" w:color="auto" w:fill="D9D9D9"/>
            <w:vAlign w:val="center"/>
          </w:tcPr>
          <w:p w14:paraId="536D982D"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E73D49C"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tcPr>
          <w:p w14:paraId="2CB02B7B" w14:textId="582748E8" w:rsidR="00381407" w:rsidRDefault="00E56466" w:rsidP="00381407">
            <w:pPr>
              <w:pBdr>
                <w:top w:val="nil"/>
                <w:left w:val="nil"/>
                <w:bottom w:val="nil"/>
                <w:right w:val="nil"/>
                <w:between w:val="nil"/>
              </w:pBdr>
              <w:spacing w:after="0" w:line="240" w:lineRule="auto"/>
              <w:rPr>
                <w:color w:val="000000"/>
              </w:rPr>
            </w:pPr>
            <w:hyperlink r:id="rId8" w:history="1">
              <w:r w:rsidR="00381407">
                <w:rPr>
                  <w:rStyle w:val="a8"/>
                  <w:rFonts w:hint="eastAsia"/>
                </w:rPr>
                <w:t>myungkyo@hanyang.ac.kr</w:t>
              </w:r>
            </w:hyperlink>
          </w:p>
        </w:tc>
      </w:tr>
      <w:tr w:rsidR="00381407" w14:paraId="03480FF1" w14:textId="77777777">
        <w:trPr>
          <w:gridAfter w:val="1"/>
          <w:wAfter w:w="9" w:type="dxa"/>
          <w:trHeight w:val="397"/>
          <w:jc w:val="center"/>
        </w:trPr>
        <w:tc>
          <w:tcPr>
            <w:tcW w:w="1524" w:type="dxa"/>
            <w:vMerge/>
            <w:shd w:val="clear" w:color="auto" w:fill="D9D9D9"/>
            <w:vAlign w:val="center"/>
          </w:tcPr>
          <w:p w14:paraId="533C4880"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4AB638BB"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tcPr>
          <w:p w14:paraId="4BAB3CCB" w14:textId="7624C60B" w:rsidR="00381407" w:rsidRDefault="00381407" w:rsidP="00381407">
            <w:pPr>
              <w:pBdr>
                <w:top w:val="nil"/>
                <w:left w:val="nil"/>
                <w:bottom w:val="nil"/>
                <w:right w:val="nil"/>
                <w:between w:val="nil"/>
              </w:pBdr>
              <w:spacing w:after="0" w:line="240" w:lineRule="auto"/>
              <w:rPr>
                <w:color w:val="000000"/>
              </w:rPr>
            </w:pPr>
            <w:r>
              <w:rPr>
                <w:rFonts w:hint="eastAsia"/>
                <w:color w:val="000000"/>
              </w:rPr>
              <w:t>Hanyang University</w:t>
            </w:r>
          </w:p>
        </w:tc>
      </w:tr>
      <w:tr w:rsidR="00381407" w14:paraId="4C9DFA56" w14:textId="77777777">
        <w:trPr>
          <w:gridAfter w:val="1"/>
          <w:wAfter w:w="9" w:type="dxa"/>
          <w:trHeight w:val="397"/>
          <w:jc w:val="center"/>
        </w:trPr>
        <w:tc>
          <w:tcPr>
            <w:tcW w:w="1524" w:type="dxa"/>
            <w:vMerge/>
            <w:shd w:val="clear" w:color="auto" w:fill="D9D9D9"/>
            <w:vAlign w:val="center"/>
          </w:tcPr>
          <w:p w14:paraId="7E983C01"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3143000E"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tcPr>
          <w:p w14:paraId="7265F612" w14:textId="7BCE850F" w:rsidR="00381407" w:rsidRDefault="00381407" w:rsidP="00381407">
            <w:pPr>
              <w:pBdr>
                <w:top w:val="nil"/>
                <w:left w:val="nil"/>
                <w:bottom w:val="nil"/>
                <w:right w:val="nil"/>
                <w:between w:val="nil"/>
              </w:pBdr>
              <w:spacing w:after="0" w:line="240" w:lineRule="auto"/>
              <w:rPr>
                <w:color w:val="000000"/>
              </w:rPr>
            </w:pPr>
            <w:r>
              <w:rPr>
                <w:rFonts w:hint="eastAsia"/>
                <w:color w:val="000000"/>
              </w:rPr>
              <w:t>School of Business</w:t>
            </w:r>
          </w:p>
        </w:tc>
      </w:tr>
      <w:tr w:rsidR="00381407" w14:paraId="4F00E07C" w14:textId="77777777">
        <w:trPr>
          <w:gridAfter w:val="1"/>
          <w:wAfter w:w="9" w:type="dxa"/>
          <w:trHeight w:val="397"/>
          <w:jc w:val="center"/>
        </w:trPr>
        <w:tc>
          <w:tcPr>
            <w:tcW w:w="1524" w:type="dxa"/>
            <w:vMerge/>
            <w:shd w:val="clear" w:color="auto" w:fill="D9D9D9"/>
            <w:vAlign w:val="center"/>
          </w:tcPr>
          <w:p w14:paraId="6399A15D"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7D04ABF"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tcPr>
          <w:p w14:paraId="2CD052AF" w14:textId="3CD39466" w:rsidR="00381407" w:rsidRDefault="00E56466" w:rsidP="00381407">
            <w:pPr>
              <w:pBdr>
                <w:top w:val="nil"/>
                <w:left w:val="nil"/>
                <w:bottom w:val="nil"/>
                <w:right w:val="nil"/>
                <w:between w:val="nil"/>
              </w:pBdr>
              <w:spacing w:after="0" w:line="240" w:lineRule="auto"/>
              <w:rPr>
                <w:color w:val="000000"/>
              </w:rPr>
            </w:pPr>
            <w:hyperlink r:id="rId9" w:history="1">
              <w:r w:rsidR="00381407">
                <w:rPr>
                  <w:rStyle w:val="a8"/>
                  <w:rFonts w:hint="eastAsia"/>
                </w:rPr>
                <w:t>http://bit.ly/MKK_HUBS1</w:t>
              </w:r>
            </w:hyperlink>
          </w:p>
        </w:tc>
      </w:tr>
      <w:tr w:rsidR="009F2F9A" w14:paraId="268FAA72" w14:textId="77777777">
        <w:trPr>
          <w:gridAfter w:val="1"/>
          <w:wAfter w:w="9" w:type="dxa"/>
          <w:trHeight w:val="397"/>
          <w:jc w:val="center"/>
        </w:trPr>
        <w:tc>
          <w:tcPr>
            <w:tcW w:w="1524" w:type="dxa"/>
            <w:vMerge w:val="restart"/>
            <w:shd w:val="clear" w:color="auto" w:fill="D9D9D9"/>
            <w:vAlign w:val="center"/>
          </w:tcPr>
          <w:p w14:paraId="6FB0D7E0" w14:textId="77777777" w:rsidR="009F2F9A" w:rsidRDefault="00E56466">
            <w:pPr>
              <w:pBdr>
                <w:top w:val="nil"/>
                <w:left w:val="nil"/>
                <w:bottom w:val="nil"/>
                <w:right w:val="nil"/>
                <w:between w:val="nil"/>
              </w:pBdr>
              <w:spacing w:after="0" w:line="240" w:lineRule="auto"/>
              <w:rPr>
                <w:b/>
                <w:bCs/>
                <w:color w:val="000000"/>
              </w:rPr>
            </w:pPr>
            <w:r>
              <w:rPr>
                <w:b/>
                <w:bCs/>
                <w:color w:val="000000"/>
              </w:rPr>
              <w:t>Course Information</w:t>
            </w:r>
          </w:p>
        </w:tc>
        <w:tc>
          <w:tcPr>
            <w:tcW w:w="2167" w:type="dxa"/>
            <w:gridSpan w:val="2"/>
            <w:shd w:val="clear" w:color="auto" w:fill="EDEDED"/>
            <w:vAlign w:val="center"/>
          </w:tcPr>
          <w:p w14:paraId="6E569C9D"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tcPr>
          <w:p w14:paraId="0BC33723" w14:textId="77777777" w:rsidR="009F2F9A" w:rsidRDefault="00E56466">
            <w:pPr>
              <w:pBdr>
                <w:top w:val="nil"/>
                <w:left w:val="nil"/>
                <w:bottom w:val="nil"/>
                <w:right w:val="nil"/>
                <w:between w:val="nil"/>
              </w:pBdr>
              <w:spacing w:after="0" w:line="240" w:lineRule="auto"/>
              <w:jc w:val="center"/>
              <w:rPr>
                <w:color w:val="000000"/>
              </w:rPr>
            </w:pPr>
            <w:r>
              <w:rPr>
                <w:color w:val="000000"/>
              </w:rPr>
              <w:t>TBA</w:t>
            </w:r>
          </w:p>
        </w:tc>
        <w:tc>
          <w:tcPr>
            <w:tcW w:w="1567" w:type="dxa"/>
            <w:shd w:val="clear" w:color="auto" w:fill="EDEDED"/>
            <w:vAlign w:val="center"/>
          </w:tcPr>
          <w:p w14:paraId="5B26F62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Code</w:t>
            </w:r>
          </w:p>
        </w:tc>
        <w:tc>
          <w:tcPr>
            <w:tcW w:w="1683" w:type="dxa"/>
            <w:gridSpan w:val="2"/>
          </w:tcPr>
          <w:p w14:paraId="00BF32F5" w14:textId="072B8B4C" w:rsidR="009F2F9A" w:rsidRDefault="00E56466">
            <w:pPr>
              <w:pBdr>
                <w:top w:val="nil"/>
                <w:left w:val="nil"/>
                <w:bottom w:val="nil"/>
                <w:right w:val="nil"/>
                <w:between w:val="nil"/>
              </w:pBdr>
              <w:spacing w:after="0" w:line="240" w:lineRule="auto"/>
              <w:jc w:val="center"/>
              <w:rPr>
                <w:color w:val="000000"/>
              </w:rPr>
            </w:pPr>
            <w:r>
              <w:rPr>
                <w:color w:val="000000"/>
              </w:rPr>
              <w:t>I</w:t>
            </w:r>
            <w:r>
              <w:rPr>
                <w:rFonts w:hint="eastAsia"/>
                <w:color w:val="000000"/>
              </w:rPr>
              <w:t>ss1</w:t>
            </w:r>
            <w:r>
              <w:rPr>
                <w:color w:val="000000"/>
              </w:rPr>
              <w:t>240</w:t>
            </w:r>
          </w:p>
        </w:tc>
        <w:tc>
          <w:tcPr>
            <w:tcW w:w="943" w:type="dxa"/>
            <w:shd w:val="clear" w:color="auto" w:fill="EDEDED"/>
            <w:vAlign w:val="center"/>
          </w:tcPr>
          <w:p w14:paraId="4212983A"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Credits</w:t>
            </w:r>
          </w:p>
        </w:tc>
        <w:tc>
          <w:tcPr>
            <w:tcW w:w="536" w:type="dxa"/>
            <w:vAlign w:val="center"/>
          </w:tcPr>
          <w:p w14:paraId="5E66BDE4" w14:textId="37505559" w:rsidR="009F2F9A" w:rsidRDefault="00381407">
            <w:pPr>
              <w:pBdr>
                <w:top w:val="nil"/>
                <w:left w:val="nil"/>
                <w:bottom w:val="nil"/>
                <w:right w:val="nil"/>
                <w:between w:val="nil"/>
              </w:pBdr>
              <w:spacing w:after="0" w:line="240" w:lineRule="auto"/>
              <w:jc w:val="center"/>
              <w:rPr>
                <w:color w:val="000000"/>
              </w:rPr>
            </w:pPr>
            <w:r>
              <w:rPr>
                <w:rFonts w:hint="eastAsia"/>
                <w:color w:val="000000"/>
              </w:rPr>
              <w:t>3</w:t>
            </w:r>
          </w:p>
        </w:tc>
      </w:tr>
      <w:tr w:rsidR="009F2F9A" w14:paraId="6062772D" w14:textId="77777777">
        <w:trPr>
          <w:gridAfter w:val="1"/>
          <w:wAfter w:w="9" w:type="dxa"/>
          <w:trHeight w:val="397"/>
          <w:jc w:val="center"/>
        </w:trPr>
        <w:tc>
          <w:tcPr>
            <w:tcW w:w="1524" w:type="dxa"/>
            <w:vMerge/>
            <w:shd w:val="clear" w:color="auto" w:fill="D9D9D9"/>
            <w:vAlign w:val="center"/>
          </w:tcPr>
          <w:p w14:paraId="708AB05A"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39C5DD7"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tcPr>
          <w:p w14:paraId="70C8BF5E" w14:textId="05524CED" w:rsidR="009F2F9A" w:rsidRDefault="00381407">
            <w:pPr>
              <w:pBdr>
                <w:top w:val="nil"/>
                <w:left w:val="nil"/>
                <w:bottom w:val="nil"/>
                <w:right w:val="nil"/>
                <w:between w:val="nil"/>
              </w:pBdr>
              <w:spacing w:after="0" w:line="240" w:lineRule="auto"/>
              <w:jc w:val="center"/>
              <w:rPr>
                <w:color w:val="000000"/>
              </w:rPr>
            </w:pPr>
            <w:r w:rsidRPr="00381407">
              <w:rPr>
                <w:rFonts w:hint="eastAsia"/>
                <w:color w:val="000000"/>
              </w:rPr>
              <w:t>ESG Supply Chain Management</w:t>
            </w:r>
          </w:p>
        </w:tc>
      </w:tr>
      <w:tr w:rsidR="009F2F9A" w14:paraId="7E2CD1E0" w14:textId="77777777">
        <w:trPr>
          <w:gridAfter w:val="1"/>
          <w:wAfter w:w="9" w:type="dxa"/>
          <w:trHeight w:val="397"/>
          <w:jc w:val="center"/>
        </w:trPr>
        <w:tc>
          <w:tcPr>
            <w:tcW w:w="1524" w:type="dxa"/>
            <w:vMerge/>
            <w:shd w:val="clear" w:color="auto" w:fill="D9D9D9"/>
            <w:vAlign w:val="center"/>
          </w:tcPr>
          <w:p w14:paraId="3C82E745"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4EF0774"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tcPr>
          <w:p w14:paraId="60FDA842" w14:textId="540BE8D7" w:rsidR="009F2F9A" w:rsidRDefault="00E56466">
            <w:pPr>
              <w:pBdr>
                <w:top w:val="nil"/>
                <w:left w:val="nil"/>
                <w:bottom w:val="nil"/>
                <w:right w:val="nil"/>
                <w:between w:val="nil"/>
              </w:pBdr>
              <w:spacing w:after="0" w:line="240" w:lineRule="auto"/>
              <w:jc w:val="center"/>
              <w:rPr>
                <w:color w:val="000000"/>
              </w:rPr>
            </w:pPr>
            <w:r>
              <w:rPr>
                <w:color w:val="000000"/>
              </w:rPr>
              <w:t xml:space="preserve">Monday-Saturday / </w:t>
            </w:r>
            <w:r w:rsidR="00381407">
              <w:rPr>
                <w:rFonts w:hint="eastAsia"/>
                <w:color w:val="000000"/>
              </w:rPr>
              <w:t>13:00~16:00</w:t>
            </w:r>
          </w:p>
        </w:tc>
      </w:tr>
      <w:tr w:rsidR="009F2F9A" w14:paraId="7A86C1C6" w14:textId="77777777">
        <w:trPr>
          <w:gridAfter w:val="1"/>
          <w:wAfter w:w="9" w:type="dxa"/>
          <w:trHeight w:val="964"/>
          <w:jc w:val="center"/>
        </w:trPr>
        <w:tc>
          <w:tcPr>
            <w:tcW w:w="1524" w:type="dxa"/>
            <w:vMerge/>
            <w:shd w:val="clear" w:color="auto" w:fill="D9D9D9"/>
            <w:vAlign w:val="center"/>
          </w:tcPr>
          <w:p w14:paraId="187C7FC7"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B3EC371"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Description</w:t>
            </w:r>
          </w:p>
        </w:tc>
        <w:tc>
          <w:tcPr>
            <w:tcW w:w="6831" w:type="dxa"/>
            <w:gridSpan w:val="6"/>
          </w:tcPr>
          <w:p w14:paraId="31DCB133" w14:textId="5C573944" w:rsidR="009F2F9A" w:rsidRPr="000A2070" w:rsidRDefault="000A2070" w:rsidP="000A2070">
            <w:pPr>
              <w:pStyle w:val="a9"/>
            </w:pPr>
            <w:r>
              <w:rPr>
                <w:rFonts w:hint="eastAsia"/>
              </w:rPr>
              <w:t>This undergraduate course introduces Environmental, Social, and Governance (ESG) principles in supply chain management. Students will explore how companies can create sustainable, ethical, and transparent supply chains while maintaining operational efficiency. The course balances conceptual understanding with practical applications, including quantitative methods where appropriate, to demonstrate how ESG integration creates value for all stakeholders.</w:t>
            </w:r>
          </w:p>
        </w:tc>
      </w:tr>
      <w:tr w:rsidR="009F2F9A" w14:paraId="5B144D23" w14:textId="77777777">
        <w:trPr>
          <w:gridAfter w:val="1"/>
          <w:wAfter w:w="9" w:type="dxa"/>
          <w:trHeight w:val="964"/>
          <w:jc w:val="center"/>
        </w:trPr>
        <w:tc>
          <w:tcPr>
            <w:tcW w:w="1524" w:type="dxa"/>
            <w:vMerge/>
            <w:shd w:val="clear" w:color="auto" w:fill="D9D9D9"/>
            <w:vAlign w:val="center"/>
          </w:tcPr>
          <w:p w14:paraId="1EC4B760"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BBBADD2"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tcPr>
          <w:p w14:paraId="6AAD6918" w14:textId="77777777" w:rsidR="000A2070" w:rsidRPr="000A2070" w:rsidRDefault="000A2070" w:rsidP="000A2070">
            <w:pPr>
              <w:pBdr>
                <w:top w:val="nil"/>
                <w:left w:val="nil"/>
                <w:bottom w:val="nil"/>
                <w:right w:val="nil"/>
                <w:between w:val="nil"/>
              </w:pBdr>
              <w:spacing w:after="0" w:line="240" w:lineRule="auto"/>
              <w:rPr>
                <w:color w:val="000000"/>
                <w:lang w:val="en-US"/>
              </w:rPr>
            </w:pPr>
            <w:r w:rsidRPr="000A2070">
              <w:rPr>
                <w:rFonts w:hint="eastAsia"/>
                <w:color w:val="000000"/>
                <w:lang w:val="en-US"/>
              </w:rPr>
              <w:t>Upon completion of this course, students will be able to:</w:t>
            </w:r>
          </w:p>
          <w:p w14:paraId="19A5A2A6"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Understand and apply ESG frameworks to supply chain operations</w:t>
            </w:r>
          </w:p>
          <w:p w14:paraId="025D877C"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Analyze environmental impacts and develop sustainable operational strategies</w:t>
            </w:r>
          </w:p>
          <w:p w14:paraId="592356F8"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Evaluate social responsibility and ethical considerations in global supply chains</w:t>
            </w:r>
          </w:p>
          <w:p w14:paraId="3BCC4768"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Design governance structures for supply chain transparency and accountability</w:t>
            </w:r>
          </w:p>
          <w:p w14:paraId="4B254ECD" w14:textId="77777777" w:rsid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Apply quantitative tools to measure and improve ESG performance</w:t>
            </w:r>
          </w:p>
          <w:p w14:paraId="6A084A39" w14:textId="734F7AC2" w:rsidR="009F2F9A"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Develop comprehensive ESG strategies through case analysis</w:t>
            </w:r>
          </w:p>
        </w:tc>
      </w:tr>
      <w:tr w:rsidR="009F2F9A" w14:paraId="230E4378" w14:textId="77777777">
        <w:trPr>
          <w:gridAfter w:val="1"/>
          <w:wAfter w:w="9" w:type="dxa"/>
          <w:trHeight w:val="964"/>
          <w:jc w:val="center"/>
        </w:trPr>
        <w:tc>
          <w:tcPr>
            <w:tcW w:w="1524" w:type="dxa"/>
            <w:vMerge/>
            <w:shd w:val="clear" w:color="auto" w:fill="D9D9D9"/>
            <w:vAlign w:val="center"/>
          </w:tcPr>
          <w:p w14:paraId="34E02F27"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77DB32D"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vAlign w:val="center"/>
          </w:tcPr>
          <w:p w14:paraId="4C4F8E2D" w14:textId="77777777" w:rsidR="009F2F9A" w:rsidRDefault="009F2F9A" w:rsidP="00065290">
            <w:pPr>
              <w:pStyle w:val="a5"/>
              <w:numPr>
                <w:ilvl w:val="0"/>
                <w:numId w:val="19"/>
              </w:numPr>
              <w:pBdr>
                <w:top w:val="nil"/>
                <w:left w:val="nil"/>
                <w:bottom w:val="nil"/>
                <w:right w:val="nil"/>
                <w:between w:val="nil"/>
              </w:pBdr>
              <w:spacing w:after="0" w:line="240" w:lineRule="auto"/>
              <w:ind w:leftChars="0" w:firstLine="2"/>
            </w:pPr>
          </w:p>
        </w:tc>
      </w:tr>
      <w:tr w:rsidR="009F2F9A" w14:paraId="2BEF208D" w14:textId="77777777">
        <w:trPr>
          <w:gridAfter w:val="1"/>
          <w:wAfter w:w="9" w:type="dxa"/>
          <w:trHeight w:val="964"/>
          <w:jc w:val="center"/>
        </w:trPr>
        <w:tc>
          <w:tcPr>
            <w:tcW w:w="1524" w:type="dxa"/>
            <w:vMerge/>
            <w:shd w:val="clear" w:color="auto" w:fill="D9D9D9"/>
            <w:vAlign w:val="center"/>
          </w:tcPr>
          <w:p w14:paraId="753F1461"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FFDB983"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vAlign w:val="center"/>
          </w:tcPr>
          <w:p w14:paraId="13C29C34" w14:textId="23240E61" w:rsidR="009F2F9A" w:rsidRPr="00065290" w:rsidRDefault="009F2F9A" w:rsidP="00065290">
            <w:pPr>
              <w:pStyle w:val="a5"/>
              <w:numPr>
                <w:ilvl w:val="0"/>
                <w:numId w:val="18"/>
              </w:numPr>
              <w:pBdr>
                <w:top w:val="nil"/>
                <w:left w:val="nil"/>
                <w:bottom w:val="nil"/>
                <w:right w:val="nil"/>
                <w:between w:val="nil"/>
              </w:pBdr>
              <w:spacing w:after="0" w:line="240" w:lineRule="auto"/>
              <w:ind w:leftChars="0"/>
              <w:rPr>
                <w:color w:val="000000"/>
              </w:rPr>
            </w:pPr>
          </w:p>
        </w:tc>
      </w:tr>
      <w:tr w:rsidR="009F2F9A" w14:paraId="2618A115" w14:textId="77777777">
        <w:trPr>
          <w:gridAfter w:val="1"/>
          <w:wAfter w:w="9" w:type="dxa"/>
          <w:trHeight w:val="397"/>
          <w:jc w:val="center"/>
        </w:trPr>
        <w:tc>
          <w:tcPr>
            <w:tcW w:w="1524" w:type="dxa"/>
            <w:vMerge w:val="restart"/>
            <w:shd w:val="clear" w:color="auto" w:fill="D9D9D9"/>
            <w:vAlign w:val="center"/>
          </w:tcPr>
          <w:p w14:paraId="0FC09AC4" w14:textId="77777777" w:rsidR="009F2F9A" w:rsidRDefault="00E56466">
            <w:pPr>
              <w:pBdr>
                <w:top w:val="nil"/>
                <w:left w:val="nil"/>
                <w:bottom w:val="nil"/>
                <w:right w:val="nil"/>
                <w:between w:val="nil"/>
              </w:pBdr>
              <w:spacing w:after="0" w:line="240" w:lineRule="auto"/>
              <w:rPr>
                <w:b/>
                <w:bCs/>
                <w:color w:val="000000"/>
              </w:rPr>
            </w:pPr>
            <w:r>
              <w:rPr>
                <w:b/>
                <w:bCs/>
                <w:color w:val="000000"/>
              </w:rPr>
              <w:t>Evaluation</w:t>
            </w:r>
          </w:p>
        </w:tc>
        <w:tc>
          <w:tcPr>
            <w:tcW w:w="2167" w:type="dxa"/>
            <w:gridSpan w:val="2"/>
            <w:shd w:val="clear" w:color="auto" w:fill="EDEDED"/>
            <w:vAlign w:val="center"/>
          </w:tcPr>
          <w:p w14:paraId="6AFE0700"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tcPr>
          <w:p w14:paraId="2E5F74E0" w14:textId="3BD6CD7F" w:rsidR="009F2F9A" w:rsidRDefault="000A2070">
            <w:pPr>
              <w:pBdr>
                <w:top w:val="nil"/>
                <w:left w:val="nil"/>
                <w:bottom w:val="nil"/>
                <w:right w:val="nil"/>
                <w:between w:val="nil"/>
              </w:pBdr>
              <w:spacing w:after="0" w:line="240" w:lineRule="auto"/>
              <w:jc w:val="right"/>
              <w:rPr>
                <w:color w:val="000000"/>
              </w:rPr>
            </w:pPr>
            <w:r>
              <w:rPr>
                <w:rFonts w:hint="eastAsia"/>
                <w:color w:val="000000"/>
              </w:rPr>
              <w:t>30</w:t>
            </w:r>
            <w:r>
              <w:rPr>
                <w:color w:val="000000"/>
              </w:rPr>
              <w:t>%</w:t>
            </w:r>
          </w:p>
        </w:tc>
        <w:tc>
          <w:tcPr>
            <w:tcW w:w="2370" w:type="dxa"/>
            <w:gridSpan w:val="2"/>
            <w:shd w:val="clear" w:color="auto" w:fill="EDEDED"/>
            <w:vAlign w:val="center"/>
          </w:tcPr>
          <w:p w14:paraId="1F13822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Quiz</w:t>
            </w:r>
          </w:p>
        </w:tc>
        <w:tc>
          <w:tcPr>
            <w:tcW w:w="2359" w:type="dxa"/>
            <w:gridSpan w:val="3"/>
          </w:tcPr>
          <w:p w14:paraId="4A75D928"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5E290D31" w14:textId="77777777">
        <w:trPr>
          <w:gridAfter w:val="1"/>
          <w:wAfter w:w="9" w:type="dxa"/>
          <w:trHeight w:val="397"/>
          <w:jc w:val="center"/>
        </w:trPr>
        <w:tc>
          <w:tcPr>
            <w:tcW w:w="1524" w:type="dxa"/>
            <w:vMerge/>
            <w:shd w:val="clear" w:color="auto" w:fill="D9D9D9"/>
            <w:vAlign w:val="center"/>
          </w:tcPr>
          <w:p w14:paraId="19E87C65"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6F8F966"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tcPr>
          <w:p w14:paraId="18847534"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c>
          <w:tcPr>
            <w:tcW w:w="2370" w:type="dxa"/>
            <w:gridSpan w:val="2"/>
            <w:shd w:val="clear" w:color="auto" w:fill="EDEDED"/>
            <w:vAlign w:val="center"/>
          </w:tcPr>
          <w:p w14:paraId="2C9119B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Mid-term Exam</w:t>
            </w:r>
          </w:p>
        </w:tc>
        <w:tc>
          <w:tcPr>
            <w:tcW w:w="2359" w:type="dxa"/>
            <w:gridSpan w:val="3"/>
          </w:tcPr>
          <w:p w14:paraId="55955D4C"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761CA760" w14:textId="77777777">
        <w:trPr>
          <w:gridAfter w:val="1"/>
          <w:wAfter w:w="9" w:type="dxa"/>
          <w:trHeight w:val="397"/>
          <w:jc w:val="center"/>
        </w:trPr>
        <w:tc>
          <w:tcPr>
            <w:tcW w:w="1524" w:type="dxa"/>
            <w:vMerge/>
            <w:shd w:val="clear" w:color="auto" w:fill="D9D9D9"/>
            <w:vAlign w:val="center"/>
          </w:tcPr>
          <w:p w14:paraId="67EBEFCF"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615BBE53"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tcPr>
          <w:p w14:paraId="17A16619" w14:textId="32025EF7" w:rsidR="009F2F9A" w:rsidRDefault="000A2070">
            <w:pPr>
              <w:pBdr>
                <w:top w:val="nil"/>
                <w:left w:val="nil"/>
                <w:bottom w:val="nil"/>
                <w:right w:val="nil"/>
                <w:between w:val="nil"/>
              </w:pBdr>
              <w:spacing w:after="0" w:line="240" w:lineRule="auto"/>
              <w:jc w:val="right"/>
              <w:rPr>
                <w:color w:val="000000"/>
              </w:rPr>
            </w:pPr>
            <w:r>
              <w:rPr>
                <w:rFonts w:hint="eastAsia"/>
                <w:color w:val="000000"/>
              </w:rPr>
              <w:t>20</w:t>
            </w:r>
            <w:r>
              <w:rPr>
                <w:color w:val="000000"/>
              </w:rPr>
              <w:t>%</w:t>
            </w:r>
          </w:p>
        </w:tc>
        <w:tc>
          <w:tcPr>
            <w:tcW w:w="2370" w:type="dxa"/>
            <w:gridSpan w:val="2"/>
            <w:shd w:val="clear" w:color="auto" w:fill="EDEDED"/>
            <w:vAlign w:val="center"/>
          </w:tcPr>
          <w:p w14:paraId="25D68ECC"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Final Exam</w:t>
            </w:r>
          </w:p>
        </w:tc>
        <w:tc>
          <w:tcPr>
            <w:tcW w:w="2359" w:type="dxa"/>
            <w:gridSpan w:val="3"/>
          </w:tcPr>
          <w:p w14:paraId="3330E70D"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37E25677" w14:textId="77777777">
        <w:trPr>
          <w:gridAfter w:val="1"/>
          <w:wAfter w:w="9" w:type="dxa"/>
          <w:trHeight w:val="397"/>
          <w:jc w:val="center"/>
        </w:trPr>
        <w:tc>
          <w:tcPr>
            <w:tcW w:w="1524" w:type="dxa"/>
            <w:vMerge/>
            <w:shd w:val="clear" w:color="auto" w:fill="D9D9D9"/>
            <w:vAlign w:val="center"/>
          </w:tcPr>
          <w:p w14:paraId="444DFCEB"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EECA4B3"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tcPr>
          <w:p w14:paraId="5777655B"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c>
          <w:tcPr>
            <w:tcW w:w="2370" w:type="dxa"/>
            <w:gridSpan w:val="2"/>
            <w:shd w:val="clear" w:color="auto" w:fill="EDEDED"/>
            <w:vAlign w:val="center"/>
          </w:tcPr>
          <w:p w14:paraId="1A78377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Participation</w:t>
            </w:r>
          </w:p>
        </w:tc>
        <w:tc>
          <w:tcPr>
            <w:tcW w:w="2359" w:type="dxa"/>
            <w:gridSpan w:val="3"/>
          </w:tcPr>
          <w:p w14:paraId="10F591AD" w14:textId="14A412D6" w:rsidR="009F2F9A" w:rsidRDefault="000A2070">
            <w:pPr>
              <w:pBdr>
                <w:top w:val="nil"/>
                <w:left w:val="nil"/>
                <w:bottom w:val="nil"/>
                <w:right w:val="nil"/>
                <w:between w:val="nil"/>
              </w:pBdr>
              <w:spacing w:after="0" w:line="240" w:lineRule="auto"/>
              <w:jc w:val="right"/>
              <w:rPr>
                <w:color w:val="000000"/>
              </w:rPr>
            </w:pPr>
            <w:r>
              <w:rPr>
                <w:rFonts w:hint="eastAsia"/>
                <w:color w:val="000000"/>
              </w:rPr>
              <w:t>10</w:t>
            </w:r>
            <w:r>
              <w:rPr>
                <w:color w:val="000000"/>
              </w:rPr>
              <w:t>%</w:t>
            </w:r>
          </w:p>
        </w:tc>
      </w:tr>
      <w:tr w:rsidR="009F2F9A" w14:paraId="6E859DB0" w14:textId="77777777">
        <w:trPr>
          <w:gridAfter w:val="1"/>
          <w:wAfter w:w="9" w:type="dxa"/>
          <w:trHeight w:val="397"/>
          <w:jc w:val="center"/>
        </w:trPr>
        <w:tc>
          <w:tcPr>
            <w:tcW w:w="1524" w:type="dxa"/>
            <w:vMerge/>
            <w:shd w:val="clear" w:color="auto" w:fill="D9D9D9"/>
            <w:vAlign w:val="center"/>
          </w:tcPr>
          <w:p w14:paraId="011BEB0D"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vMerge w:val="restart"/>
            <w:shd w:val="clear" w:color="auto" w:fill="EDEDED"/>
            <w:vAlign w:val="center"/>
          </w:tcPr>
          <w:p w14:paraId="271500B4"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6BC8CEF5"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11B882FB"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Ratio</w:t>
            </w:r>
          </w:p>
        </w:tc>
      </w:tr>
      <w:tr w:rsidR="009F2F9A" w14:paraId="3E25D1B3" w14:textId="77777777">
        <w:trPr>
          <w:gridAfter w:val="1"/>
          <w:wAfter w:w="9" w:type="dxa"/>
          <w:trHeight w:val="397"/>
          <w:jc w:val="center"/>
        </w:trPr>
        <w:tc>
          <w:tcPr>
            <w:tcW w:w="1524" w:type="dxa"/>
            <w:vMerge/>
            <w:shd w:val="clear" w:color="auto" w:fill="D9D9D9"/>
            <w:vAlign w:val="center"/>
          </w:tcPr>
          <w:p w14:paraId="16FF6638" w14:textId="77777777" w:rsidR="009F2F9A" w:rsidRDefault="009F2F9A">
            <w:pPr>
              <w:pBdr>
                <w:top w:val="nil"/>
                <w:left w:val="nil"/>
                <w:bottom w:val="nil"/>
                <w:right w:val="nil"/>
                <w:between w:val="nil"/>
              </w:pBdr>
              <w:spacing w:after="0" w:line="276" w:lineRule="auto"/>
              <w:jc w:val="left"/>
              <w:rPr>
                <w:b/>
                <w:bCs/>
                <w:color w:val="000000"/>
              </w:rPr>
            </w:pPr>
          </w:p>
        </w:tc>
        <w:tc>
          <w:tcPr>
            <w:tcW w:w="2167" w:type="dxa"/>
            <w:gridSpan w:val="2"/>
            <w:vMerge/>
            <w:shd w:val="clear" w:color="auto" w:fill="EDEDED"/>
            <w:vAlign w:val="center"/>
          </w:tcPr>
          <w:p w14:paraId="5F0140CB" w14:textId="77777777" w:rsidR="009F2F9A" w:rsidRDefault="009F2F9A">
            <w:pPr>
              <w:pBdr>
                <w:top w:val="nil"/>
                <w:left w:val="nil"/>
                <w:bottom w:val="nil"/>
                <w:right w:val="nil"/>
                <w:between w:val="nil"/>
              </w:pBdr>
              <w:spacing w:after="0" w:line="276" w:lineRule="auto"/>
              <w:jc w:val="left"/>
              <w:rPr>
                <w:b/>
                <w:bCs/>
                <w:color w:val="000000"/>
              </w:rPr>
            </w:pPr>
          </w:p>
        </w:tc>
        <w:tc>
          <w:tcPr>
            <w:tcW w:w="4472" w:type="dxa"/>
            <w:gridSpan w:val="3"/>
          </w:tcPr>
          <w:p w14:paraId="4E1F8C67" w14:textId="176D57B8" w:rsidR="009F2F9A" w:rsidRDefault="000A2070">
            <w:pPr>
              <w:pBdr>
                <w:top w:val="nil"/>
                <w:left w:val="nil"/>
                <w:bottom w:val="nil"/>
                <w:right w:val="nil"/>
                <w:between w:val="nil"/>
              </w:pBdr>
              <w:spacing w:after="0" w:line="240" w:lineRule="auto"/>
              <w:rPr>
                <w:color w:val="000000"/>
              </w:rPr>
            </w:pPr>
            <w:r>
              <w:rPr>
                <w:rFonts w:hint="eastAsia"/>
                <w:color w:val="000000"/>
              </w:rPr>
              <w:t>Case Analysis and Presentation</w:t>
            </w:r>
          </w:p>
        </w:tc>
        <w:tc>
          <w:tcPr>
            <w:tcW w:w="2359" w:type="dxa"/>
            <w:gridSpan w:val="3"/>
          </w:tcPr>
          <w:p w14:paraId="2B5A3166" w14:textId="042DF94F" w:rsidR="009F2F9A" w:rsidRDefault="000A2070">
            <w:pPr>
              <w:pBdr>
                <w:top w:val="nil"/>
                <w:left w:val="nil"/>
                <w:bottom w:val="nil"/>
                <w:right w:val="nil"/>
                <w:between w:val="nil"/>
              </w:pBdr>
              <w:spacing w:after="0" w:line="240" w:lineRule="auto"/>
              <w:jc w:val="right"/>
              <w:rPr>
                <w:color w:val="000000"/>
              </w:rPr>
            </w:pPr>
            <w:r>
              <w:rPr>
                <w:rFonts w:hint="eastAsia"/>
                <w:color w:val="000000"/>
              </w:rPr>
              <w:t>40</w:t>
            </w:r>
            <w:r>
              <w:rPr>
                <w:color w:val="000000"/>
              </w:rPr>
              <w:t>%</w:t>
            </w:r>
          </w:p>
        </w:tc>
      </w:tr>
      <w:tr w:rsidR="009F2F9A" w14:paraId="7C54C4A8" w14:textId="77777777">
        <w:trPr>
          <w:gridAfter w:val="1"/>
          <w:wAfter w:w="9" w:type="dxa"/>
          <w:trHeight w:val="397"/>
          <w:jc w:val="center"/>
        </w:trPr>
        <w:tc>
          <w:tcPr>
            <w:tcW w:w="1524" w:type="dxa"/>
            <w:vMerge/>
            <w:shd w:val="clear" w:color="auto" w:fill="D9D9D9"/>
            <w:vAlign w:val="center"/>
          </w:tcPr>
          <w:p w14:paraId="4BEA89FB"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vMerge/>
            <w:shd w:val="clear" w:color="auto" w:fill="EDEDED"/>
            <w:vAlign w:val="center"/>
          </w:tcPr>
          <w:p w14:paraId="7FBC46BC" w14:textId="77777777" w:rsidR="009F2F9A" w:rsidRDefault="009F2F9A">
            <w:pPr>
              <w:pBdr>
                <w:top w:val="nil"/>
                <w:left w:val="nil"/>
                <w:bottom w:val="nil"/>
                <w:right w:val="nil"/>
                <w:between w:val="nil"/>
              </w:pBdr>
              <w:spacing w:after="0" w:line="276" w:lineRule="auto"/>
              <w:jc w:val="left"/>
              <w:rPr>
                <w:color w:val="000000"/>
              </w:rPr>
            </w:pPr>
          </w:p>
        </w:tc>
        <w:tc>
          <w:tcPr>
            <w:tcW w:w="4472" w:type="dxa"/>
            <w:gridSpan w:val="3"/>
          </w:tcPr>
          <w:p w14:paraId="74F2915B" w14:textId="77777777" w:rsidR="009F2F9A" w:rsidRDefault="009F2F9A">
            <w:pPr>
              <w:pBdr>
                <w:top w:val="nil"/>
                <w:left w:val="nil"/>
                <w:bottom w:val="nil"/>
                <w:right w:val="nil"/>
                <w:between w:val="nil"/>
              </w:pBdr>
              <w:spacing w:after="0" w:line="240" w:lineRule="auto"/>
              <w:rPr>
                <w:color w:val="000000"/>
              </w:rPr>
            </w:pPr>
          </w:p>
        </w:tc>
        <w:tc>
          <w:tcPr>
            <w:tcW w:w="2359" w:type="dxa"/>
            <w:gridSpan w:val="3"/>
          </w:tcPr>
          <w:p w14:paraId="18BF4207"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0D86F45A" w14:textId="77777777">
        <w:trPr>
          <w:trHeight w:val="270"/>
          <w:jc w:val="center"/>
        </w:trPr>
        <w:tc>
          <w:tcPr>
            <w:tcW w:w="1524" w:type="dxa"/>
            <w:vMerge w:val="restart"/>
            <w:shd w:val="clear" w:color="auto" w:fill="D9D9D9"/>
            <w:vAlign w:val="center"/>
          </w:tcPr>
          <w:p w14:paraId="5B09511F" w14:textId="77777777" w:rsidR="009F2F9A" w:rsidRDefault="00E56466">
            <w:pPr>
              <w:pBdr>
                <w:top w:val="nil"/>
                <w:left w:val="nil"/>
                <w:bottom w:val="nil"/>
                <w:right w:val="nil"/>
                <w:between w:val="nil"/>
              </w:pBdr>
              <w:spacing w:after="0" w:line="240" w:lineRule="auto"/>
              <w:rPr>
                <w:b/>
                <w:bCs/>
                <w:color w:val="000000"/>
              </w:rPr>
            </w:pPr>
            <w:r>
              <w:rPr>
                <w:b/>
                <w:bCs/>
                <w:color w:val="000000"/>
              </w:rPr>
              <w:t xml:space="preserve">Daily </w:t>
            </w:r>
          </w:p>
          <w:p w14:paraId="0F7A0847" w14:textId="77777777" w:rsidR="009F2F9A" w:rsidRDefault="00E56466">
            <w:pPr>
              <w:pBdr>
                <w:top w:val="nil"/>
                <w:left w:val="nil"/>
                <w:bottom w:val="nil"/>
                <w:right w:val="nil"/>
                <w:between w:val="nil"/>
              </w:pBdr>
              <w:spacing w:after="0" w:line="240" w:lineRule="auto"/>
              <w:rPr>
                <w:b/>
                <w:bCs/>
                <w:color w:val="000000"/>
              </w:rPr>
            </w:pPr>
            <w:r>
              <w:rPr>
                <w:b/>
                <w:bCs/>
                <w:color w:val="000000"/>
              </w:rPr>
              <w:t>Lecture Plan</w:t>
            </w:r>
          </w:p>
        </w:tc>
        <w:tc>
          <w:tcPr>
            <w:tcW w:w="1184" w:type="dxa"/>
            <w:shd w:val="clear" w:color="auto" w:fill="EDEDED"/>
          </w:tcPr>
          <w:p w14:paraId="579C427D"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w:t>
            </w:r>
          </w:p>
        </w:tc>
        <w:tc>
          <w:tcPr>
            <w:tcW w:w="7823" w:type="dxa"/>
            <w:gridSpan w:val="8"/>
          </w:tcPr>
          <w:p w14:paraId="7E20F31C"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Course Introduction + Introduction (Part 1)</w:t>
            </w:r>
          </w:p>
          <w:p w14:paraId="511B7002" w14:textId="77777777" w:rsidR="00065290" w:rsidRPr="00065290" w:rsidRDefault="00065290" w:rsidP="00065290">
            <w:pPr>
              <w:numPr>
                <w:ilvl w:val="0"/>
                <w:numId w:val="3"/>
              </w:numPr>
              <w:pBdr>
                <w:top w:val="nil"/>
                <w:left w:val="nil"/>
                <w:bottom w:val="nil"/>
                <w:right w:val="nil"/>
                <w:between w:val="nil"/>
              </w:pBdr>
              <w:spacing w:after="0" w:line="240" w:lineRule="auto"/>
              <w:rPr>
                <w:color w:val="000000"/>
                <w:lang w:val="en-US"/>
              </w:rPr>
            </w:pPr>
            <w:r w:rsidRPr="00065290">
              <w:rPr>
                <w:color w:val="000000"/>
                <w:lang w:val="en-US"/>
              </w:rPr>
              <w:t>Course introduction: syllabus, grading, assignments, expectations, policies, and logistics</w:t>
            </w:r>
          </w:p>
          <w:p w14:paraId="24A4D9DD" w14:textId="77777777" w:rsidR="00065290" w:rsidRPr="00065290" w:rsidRDefault="00065290" w:rsidP="00065290">
            <w:pPr>
              <w:numPr>
                <w:ilvl w:val="0"/>
                <w:numId w:val="3"/>
              </w:numPr>
              <w:pBdr>
                <w:top w:val="nil"/>
                <w:left w:val="nil"/>
                <w:bottom w:val="nil"/>
                <w:right w:val="nil"/>
                <w:between w:val="nil"/>
              </w:pBdr>
              <w:spacing w:after="0" w:line="240" w:lineRule="auto"/>
              <w:rPr>
                <w:color w:val="000000"/>
                <w:lang w:val="en-US"/>
              </w:rPr>
            </w:pPr>
            <w:r w:rsidRPr="00065290">
              <w:rPr>
                <w:color w:val="000000"/>
                <w:lang w:val="en-US"/>
              </w:rPr>
              <w:t>Supply chain management overview: flows (materials/information/finance), key players, and performance goals</w:t>
            </w:r>
          </w:p>
          <w:p w14:paraId="20AFA62E" w14:textId="3E3E0410" w:rsidR="009F2F9A" w:rsidRPr="00065290" w:rsidRDefault="00065290" w:rsidP="00065290">
            <w:pPr>
              <w:numPr>
                <w:ilvl w:val="0"/>
                <w:numId w:val="3"/>
              </w:numPr>
              <w:pBdr>
                <w:top w:val="nil"/>
                <w:left w:val="nil"/>
                <w:bottom w:val="nil"/>
                <w:right w:val="nil"/>
                <w:between w:val="nil"/>
              </w:pBdr>
              <w:spacing w:after="0" w:line="240" w:lineRule="auto"/>
              <w:rPr>
                <w:color w:val="000000"/>
                <w:lang w:val="en-US"/>
              </w:rPr>
            </w:pPr>
            <w:r w:rsidRPr="00065290">
              <w:rPr>
                <w:color w:val="000000"/>
                <w:lang w:val="en-US"/>
              </w:rPr>
              <w:t>CSR and ESG: definitions, evolution, and why ESG matters in supply chains</w:t>
            </w:r>
          </w:p>
        </w:tc>
      </w:tr>
      <w:tr w:rsidR="009F2F9A" w14:paraId="34D28CA0" w14:textId="77777777">
        <w:trPr>
          <w:trHeight w:val="270"/>
          <w:jc w:val="center"/>
        </w:trPr>
        <w:tc>
          <w:tcPr>
            <w:tcW w:w="1524" w:type="dxa"/>
            <w:vMerge/>
            <w:shd w:val="clear" w:color="auto" w:fill="D9D9D9"/>
            <w:vAlign w:val="center"/>
          </w:tcPr>
          <w:p w14:paraId="0D58D8AC"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247CE5E6"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2</w:t>
            </w:r>
          </w:p>
        </w:tc>
        <w:tc>
          <w:tcPr>
            <w:tcW w:w="7823" w:type="dxa"/>
            <w:gridSpan w:val="8"/>
          </w:tcPr>
          <w:p w14:paraId="094A906D"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Introduction (Part 2)</w:t>
            </w:r>
          </w:p>
          <w:p w14:paraId="0C9358B4" w14:textId="77777777" w:rsidR="00065290" w:rsidRPr="00065290" w:rsidRDefault="00065290" w:rsidP="00065290">
            <w:pPr>
              <w:numPr>
                <w:ilvl w:val="0"/>
                <w:numId w:val="4"/>
              </w:numPr>
              <w:pBdr>
                <w:top w:val="nil"/>
                <w:left w:val="nil"/>
                <w:bottom w:val="nil"/>
                <w:right w:val="nil"/>
                <w:between w:val="nil"/>
              </w:pBdr>
              <w:spacing w:after="0" w:line="240" w:lineRule="auto"/>
              <w:rPr>
                <w:color w:val="000000"/>
                <w:lang w:val="en-US"/>
              </w:rPr>
            </w:pPr>
            <w:r w:rsidRPr="00065290">
              <w:rPr>
                <w:color w:val="000000"/>
                <w:lang w:val="en-US"/>
              </w:rPr>
              <w:t>Why supply chains are an ESG battlefield: multi-tier opacity, outsourcing, and accountability</w:t>
            </w:r>
          </w:p>
          <w:p w14:paraId="668C70DC" w14:textId="7087F91B" w:rsidR="009F2F9A" w:rsidRPr="00065290" w:rsidRDefault="00065290" w:rsidP="00065290">
            <w:pPr>
              <w:numPr>
                <w:ilvl w:val="0"/>
                <w:numId w:val="4"/>
              </w:numPr>
              <w:pBdr>
                <w:top w:val="nil"/>
                <w:left w:val="nil"/>
                <w:bottom w:val="nil"/>
                <w:right w:val="nil"/>
                <w:between w:val="nil"/>
              </w:pBdr>
              <w:spacing w:after="0" w:line="240" w:lineRule="auto"/>
              <w:rPr>
                <w:color w:val="000000"/>
                <w:lang w:val="en-US"/>
              </w:rPr>
            </w:pPr>
            <w:r w:rsidRPr="00065290">
              <w:rPr>
                <w:color w:val="000000"/>
                <w:lang w:val="en-US"/>
              </w:rPr>
              <w:t>Core ESG pressure points in supply chains: Scope 3, labor risk, governance, and traceability gaps</w:t>
            </w:r>
          </w:p>
        </w:tc>
      </w:tr>
      <w:tr w:rsidR="009F2F9A" w14:paraId="155FB068" w14:textId="77777777">
        <w:trPr>
          <w:trHeight w:val="270"/>
          <w:jc w:val="center"/>
        </w:trPr>
        <w:tc>
          <w:tcPr>
            <w:tcW w:w="1524" w:type="dxa"/>
            <w:vMerge/>
            <w:shd w:val="clear" w:color="auto" w:fill="D9D9D9"/>
            <w:vAlign w:val="center"/>
          </w:tcPr>
          <w:p w14:paraId="0C69B4C3"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4E486020"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3</w:t>
            </w:r>
          </w:p>
        </w:tc>
        <w:tc>
          <w:tcPr>
            <w:tcW w:w="7823" w:type="dxa"/>
            <w:gridSpan w:val="8"/>
          </w:tcPr>
          <w:p w14:paraId="5111DD4B"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Environmental Supply Chain Decisions (Part 1)</w:t>
            </w:r>
          </w:p>
          <w:p w14:paraId="35635B71" w14:textId="77777777" w:rsidR="00065290" w:rsidRPr="00065290" w:rsidRDefault="00065290" w:rsidP="00065290">
            <w:pPr>
              <w:numPr>
                <w:ilvl w:val="0"/>
                <w:numId w:val="5"/>
              </w:numPr>
              <w:pBdr>
                <w:top w:val="nil"/>
                <w:left w:val="nil"/>
                <w:bottom w:val="nil"/>
                <w:right w:val="nil"/>
                <w:between w:val="nil"/>
              </w:pBdr>
              <w:spacing w:after="0" w:line="240" w:lineRule="auto"/>
              <w:rPr>
                <w:color w:val="000000"/>
                <w:lang w:val="en-US"/>
              </w:rPr>
            </w:pPr>
            <w:r w:rsidRPr="00065290">
              <w:rPr>
                <w:color w:val="000000"/>
                <w:lang w:val="en-US"/>
              </w:rPr>
              <w:t>Environmental decision points: sourcing, production, inventory, and logistics choices that drive emissions</w:t>
            </w:r>
          </w:p>
          <w:p w14:paraId="499C89CF" w14:textId="6421B77C" w:rsidR="009F2F9A" w:rsidRPr="00065290" w:rsidRDefault="00065290" w:rsidP="00065290">
            <w:pPr>
              <w:numPr>
                <w:ilvl w:val="0"/>
                <w:numId w:val="5"/>
              </w:numPr>
              <w:pBdr>
                <w:top w:val="nil"/>
                <w:left w:val="nil"/>
                <w:bottom w:val="nil"/>
                <w:right w:val="nil"/>
                <w:between w:val="nil"/>
              </w:pBdr>
              <w:spacing w:after="0" w:line="240" w:lineRule="auto"/>
              <w:rPr>
                <w:color w:val="000000"/>
                <w:lang w:val="en-US"/>
              </w:rPr>
            </w:pPr>
            <w:r w:rsidRPr="00065290">
              <w:rPr>
                <w:color w:val="000000"/>
                <w:lang w:val="en-US"/>
              </w:rPr>
              <w:t>Environmental performance metrics: carbon footprint, energy intensity, waste/water, and LCA basics</w:t>
            </w:r>
          </w:p>
        </w:tc>
      </w:tr>
      <w:tr w:rsidR="009F2F9A" w14:paraId="4A5410BF" w14:textId="77777777">
        <w:trPr>
          <w:trHeight w:val="270"/>
          <w:jc w:val="center"/>
        </w:trPr>
        <w:tc>
          <w:tcPr>
            <w:tcW w:w="1524" w:type="dxa"/>
            <w:vMerge/>
            <w:shd w:val="clear" w:color="auto" w:fill="D9D9D9"/>
            <w:vAlign w:val="center"/>
          </w:tcPr>
          <w:p w14:paraId="12FF2FF8"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62DFFAAF"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4</w:t>
            </w:r>
          </w:p>
        </w:tc>
        <w:tc>
          <w:tcPr>
            <w:tcW w:w="7823" w:type="dxa"/>
            <w:gridSpan w:val="8"/>
          </w:tcPr>
          <w:p w14:paraId="14B97D04"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Environmental Supply Chain Decisions (Part 2)</w:t>
            </w:r>
          </w:p>
          <w:p w14:paraId="2AFDC9C9" w14:textId="77777777" w:rsidR="00065290" w:rsidRPr="00065290" w:rsidRDefault="00065290" w:rsidP="00065290">
            <w:pPr>
              <w:numPr>
                <w:ilvl w:val="0"/>
                <w:numId w:val="6"/>
              </w:numPr>
              <w:pBdr>
                <w:top w:val="nil"/>
                <w:left w:val="nil"/>
                <w:bottom w:val="nil"/>
                <w:right w:val="nil"/>
                <w:between w:val="nil"/>
              </w:pBdr>
              <w:spacing w:after="0" w:line="240" w:lineRule="auto"/>
              <w:rPr>
                <w:color w:val="000000"/>
                <w:lang w:val="en-US"/>
              </w:rPr>
            </w:pPr>
            <w:r w:rsidRPr="00065290">
              <w:rPr>
                <w:color w:val="000000"/>
                <w:lang w:val="en-US"/>
              </w:rPr>
              <w:t>Optimization for environmental decisions: objectives, constraints, and cost–carbon trade-offs</w:t>
            </w:r>
          </w:p>
          <w:p w14:paraId="45A0F140" w14:textId="780C34E8" w:rsidR="009F2F9A" w:rsidRPr="00065290" w:rsidRDefault="00065290" w:rsidP="00065290">
            <w:pPr>
              <w:numPr>
                <w:ilvl w:val="0"/>
                <w:numId w:val="6"/>
              </w:numPr>
              <w:pBdr>
                <w:top w:val="nil"/>
                <w:left w:val="nil"/>
                <w:bottom w:val="nil"/>
                <w:right w:val="nil"/>
                <w:between w:val="nil"/>
              </w:pBdr>
              <w:spacing w:after="0" w:line="240" w:lineRule="auto"/>
              <w:rPr>
                <w:color w:val="000000"/>
                <w:lang w:val="en-US"/>
              </w:rPr>
            </w:pPr>
            <w:r w:rsidRPr="00065290">
              <w:rPr>
                <w:color w:val="000000"/>
                <w:lang w:val="en-US"/>
              </w:rPr>
              <w:t>Sustainability trade-offs: efficiency vs. resilience, service level vs. emissions, and rebound effects</w:t>
            </w:r>
          </w:p>
        </w:tc>
      </w:tr>
      <w:tr w:rsidR="009F2F9A" w14:paraId="02F37B6F" w14:textId="77777777">
        <w:trPr>
          <w:trHeight w:val="270"/>
          <w:jc w:val="center"/>
        </w:trPr>
        <w:tc>
          <w:tcPr>
            <w:tcW w:w="1524" w:type="dxa"/>
            <w:vMerge/>
            <w:shd w:val="clear" w:color="auto" w:fill="D9D9D9"/>
            <w:vAlign w:val="center"/>
          </w:tcPr>
          <w:p w14:paraId="161349D4"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7D0406B4"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5</w:t>
            </w:r>
          </w:p>
        </w:tc>
        <w:tc>
          <w:tcPr>
            <w:tcW w:w="7823" w:type="dxa"/>
            <w:gridSpan w:val="8"/>
          </w:tcPr>
          <w:p w14:paraId="3C2D9730"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Social Sustainability in Supply Chains (Part 1)</w:t>
            </w:r>
          </w:p>
          <w:p w14:paraId="3C0DF1D1" w14:textId="77777777" w:rsidR="00065290" w:rsidRPr="00065290" w:rsidRDefault="00065290" w:rsidP="00065290">
            <w:pPr>
              <w:numPr>
                <w:ilvl w:val="0"/>
                <w:numId w:val="7"/>
              </w:numPr>
              <w:pBdr>
                <w:top w:val="nil"/>
                <w:left w:val="nil"/>
                <w:bottom w:val="nil"/>
                <w:right w:val="nil"/>
                <w:between w:val="nil"/>
              </w:pBdr>
              <w:spacing w:after="0" w:line="240" w:lineRule="auto"/>
              <w:rPr>
                <w:color w:val="000000"/>
                <w:lang w:val="en-US"/>
              </w:rPr>
            </w:pPr>
            <w:r w:rsidRPr="00065290">
              <w:rPr>
                <w:color w:val="000000"/>
                <w:lang w:val="en-US"/>
              </w:rPr>
              <w:t>Social sustainability foundations: labor rights, human rights due diligence, and stakeholder expectations</w:t>
            </w:r>
          </w:p>
          <w:p w14:paraId="1E822C8A" w14:textId="6C42FE33" w:rsidR="009F2F9A" w:rsidRPr="00065290" w:rsidRDefault="00065290" w:rsidP="00065290">
            <w:pPr>
              <w:numPr>
                <w:ilvl w:val="0"/>
                <w:numId w:val="7"/>
              </w:numPr>
              <w:pBdr>
                <w:top w:val="nil"/>
                <w:left w:val="nil"/>
                <w:bottom w:val="nil"/>
                <w:right w:val="nil"/>
                <w:between w:val="nil"/>
              </w:pBdr>
              <w:spacing w:after="0" w:line="240" w:lineRule="auto"/>
              <w:rPr>
                <w:color w:val="000000"/>
                <w:lang w:val="en-US"/>
              </w:rPr>
            </w:pPr>
            <w:r w:rsidRPr="00065290">
              <w:rPr>
                <w:color w:val="000000"/>
                <w:lang w:val="en-US"/>
              </w:rPr>
              <w:t>Social risk in operations: forced labor, child labor, health &amp; safety, and migrant-worker vulnerabilities</w:t>
            </w:r>
          </w:p>
        </w:tc>
      </w:tr>
      <w:tr w:rsidR="009F2F9A" w14:paraId="66AECC36" w14:textId="77777777">
        <w:trPr>
          <w:trHeight w:val="270"/>
          <w:jc w:val="center"/>
        </w:trPr>
        <w:tc>
          <w:tcPr>
            <w:tcW w:w="1524" w:type="dxa"/>
            <w:vMerge/>
            <w:shd w:val="clear" w:color="auto" w:fill="D9D9D9"/>
            <w:vAlign w:val="center"/>
          </w:tcPr>
          <w:p w14:paraId="51D307DF"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27E1D8D9"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6</w:t>
            </w:r>
          </w:p>
        </w:tc>
        <w:tc>
          <w:tcPr>
            <w:tcW w:w="7823" w:type="dxa"/>
            <w:gridSpan w:val="8"/>
          </w:tcPr>
          <w:p w14:paraId="5F1D06CB"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Social Sustainability in Supply Chains (Part 2)</w:t>
            </w:r>
          </w:p>
          <w:p w14:paraId="779A8052" w14:textId="77777777" w:rsidR="00065290" w:rsidRPr="00065290" w:rsidRDefault="00065290" w:rsidP="00065290">
            <w:pPr>
              <w:numPr>
                <w:ilvl w:val="0"/>
                <w:numId w:val="8"/>
              </w:numPr>
              <w:pBdr>
                <w:top w:val="nil"/>
                <w:left w:val="nil"/>
                <w:bottom w:val="nil"/>
                <w:right w:val="nil"/>
                <w:between w:val="nil"/>
              </w:pBdr>
              <w:spacing w:after="0" w:line="240" w:lineRule="auto"/>
              <w:rPr>
                <w:color w:val="000000"/>
                <w:lang w:val="en-US"/>
              </w:rPr>
            </w:pPr>
            <w:r w:rsidRPr="00065290">
              <w:rPr>
                <w:color w:val="000000"/>
                <w:lang w:val="en-US"/>
              </w:rPr>
              <w:t>Decision tools for social trade-offs: supplier segmentation, remediation planning, and escalation rules</w:t>
            </w:r>
          </w:p>
          <w:p w14:paraId="1E48B75A" w14:textId="54707E1B" w:rsidR="009F2F9A" w:rsidRPr="00065290" w:rsidRDefault="00065290" w:rsidP="00065290">
            <w:pPr>
              <w:numPr>
                <w:ilvl w:val="0"/>
                <w:numId w:val="8"/>
              </w:numPr>
              <w:pBdr>
                <w:top w:val="nil"/>
                <w:left w:val="nil"/>
                <w:bottom w:val="nil"/>
                <w:right w:val="nil"/>
                <w:between w:val="nil"/>
              </w:pBdr>
              <w:spacing w:after="0" w:line="240" w:lineRule="auto"/>
              <w:rPr>
                <w:color w:val="000000"/>
                <w:lang w:val="en-US"/>
              </w:rPr>
            </w:pPr>
            <w:r w:rsidRPr="00065290">
              <w:rPr>
                <w:color w:val="000000"/>
                <w:lang w:val="en-US"/>
              </w:rPr>
              <w:t>Measuring social performance: audit limitations, leading vs. lagging indicators, and grievance mechanisms</w:t>
            </w:r>
          </w:p>
        </w:tc>
      </w:tr>
      <w:tr w:rsidR="009F2F9A" w14:paraId="425FC36C" w14:textId="77777777">
        <w:trPr>
          <w:trHeight w:val="270"/>
          <w:jc w:val="center"/>
        </w:trPr>
        <w:tc>
          <w:tcPr>
            <w:tcW w:w="1524" w:type="dxa"/>
            <w:vMerge/>
            <w:shd w:val="clear" w:color="auto" w:fill="D9D9D9"/>
            <w:vAlign w:val="center"/>
          </w:tcPr>
          <w:p w14:paraId="5ADD2F9F"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7278D833"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7</w:t>
            </w:r>
          </w:p>
        </w:tc>
        <w:tc>
          <w:tcPr>
            <w:tcW w:w="7823" w:type="dxa"/>
            <w:gridSpan w:val="8"/>
          </w:tcPr>
          <w:p w14:paraId="0B1FB3C4"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Governance in Sustainable Supply Chains (Part 1)</w:t>
            </w:r>
          </w:p>
          <w:p w14:paraId="5A400B97" w14:textId="77777777" w:rsidR="00065290" w:rsidRPr="00065290" w:rsidRDefault="00065290" w:rsidP="00065290">
            <w:pPr>
              <w:numPr>
                <w:ilvl w:val="0"/>
                <w:numId w:val="9"/>
              </w:numPr>
              <w:pBdr>
                <w:top w:val="nil"/>
                <w:left w:val="nil"/>
                <w:bottom w:val="nil"/>
                <w:right w:val="nil"/>
                <w:between w:val="nil"/>
              </w:pBdr>
              <w:spacing w:after="0" w:line="240" w:lineRule="auto"/>
              <w:rPr>
                <w:color w:val="000000"/>
                <w:lang w:val="en-US"/>
              </w:rPr>
            </w:pPr>
            <w:r w:rsidRPr="00065290">
              <w:rPr>
                <w:color w:val="000000"/>
                <w:lang w:val="en-US"/>
              </w:rPr>
              <w:t>Supply chain governance basics: contract vs. relational governance; compliance vs. capability building</w:t>
            </w:r>
          </w:p>
          <w:p w14:paraId="210B1CE2" w14:textId="166C483C" w:rsidR="009F2F9A" w:rsidRPr="00065290" w:rsidRDefault="00065290" w:rsidP="00065290">
            <w:pPr>
              <w:numPr>
                <w:ilvl w:val="0"/>
                <w:numId w:val="9"/>
              </w:numPr>
              <w:pBdr>
                <w:top w:val="nil"/>
                <w:left w:val="nil"/>
                <w:bottom w:val="nil"/>
                <w:right w:val="nil"/>
                <w:between w:val="nil"/>
              </w:pBdr>
              <w:spacing w:after="0" w:line="240" w:lineRule="auto"/>
              <w:rPr>
                <w:color w:val="000000"/>
                <w:lang w:val="en-US"/>
              </w:rPr>
            </w:pPr>
            <w:r w:rsidRPr="00065290">
              <w:rPr>
                <w:color w:val="000000"/>
                <w:lang w:val="en-US"/>
              </w:rPr>
              <w:t>Governance mechanisms: codes of conduct, supplier development, incentives, and data requirements</w:t>
            </w:r>
          </w:p>
        </w:tc>
      </w:tr>
      <w:tr w:rsidR="009F2F9A" w14:paraId="37491F2E" w14:textId="77777777">
        <w:trPr>
          <w:trHeight w:val="270"/>
          <w:jc w:val="center"/>
        </w:trPr>
        <w:tc>
          <w:tcPr>
            <w:tcW w:w="1524" w:type="dxa"/>
            <w:vMerge/>
            <w:shd w:val="clear" w:color="auto" w:fill="D9D9D9"/>
            <w:vAlign w:val="center"/>
          </w:tcPr>
          <w:p w14:paraId="6ED8DE59"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10D6ED8D"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8</w:t>
            </w:r>
          </w:p>
        </w:tc>
        <w:tc>
          <w:tcPr>
            <w:tcW w:w="7823" w:type="dxa"/>
            <w:gridSpan w:val="8"/>
          </w:tcPr>
          <w:p w14:paraId="3615B2EB"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Governance in Sustainable Supply Chains (Part 2)</w:t>
            </w:r>
          </w:p>
          <w:p w14:paraId="797DA9E6" w14:textId="77777777" w:rsidR="00065290" w:rsidRPr="00065290" w:rsidRDefault="00065290" w:rsidP="00065290">
            <w:pPr>
              <w:numPr>
                <w:ilvl w:val="0"/>
                <w:numId w:val="10"/>
              </w:numPr>
              <w:pBdr>
                <w:top w:val="nil"/>
                <w:left w:val="nil"/>
                <w:bottom w:val="nil"/>
                <w:right w:val="nil"/>
                <w:between w:val="nil"/>
              </w:pBdr>
              <w:spacing w:after="0" w:line="240" w:lineRule="auto"/>
              <w:rPr>
                <w:color w:val="000000"/>
                <w:lang w:val="en-US"/>
              </w:rPr>
            </w:pPr>
            <w:r w:rsidRPr="00065290">
              <w:rPr>
                <w:color w:val="000000"/>
                <w:lang w:val="en-US"/>
              </w:rPr>
              <w:t>Third-party audits: how they work, common failure modes, audit fatigue, and gaming risks</w:t>
            </w:r>
          </w:p>
          <w:p w14:paraId="2063FF62" w14:textId="6315DB79" w:rsidR="009F2F9A" w:rsidRPr="00065290" w:rsidRDefault="00065290" w:rsidP="00065290">
            <w:pPr>
              <w:numPr>
                <w:ilvl w:val="0"/>
                <w:numId w:val="10"/>
              </w:numPr>
              <w:pBdr>
                <w:top w:val="nil"/>
                <w:left w:val="nil"/>
                <w:bottom w:val="nil"/>
                <w:right w:val="nil"/>
                <w:between w:val="nil"/>
              </w:pBdr>
              <w:spacing w:after="0" w:line="240" w:lineRule="auto"/>
              <w:rPr>
                <w:color w:val="000000"/>
                <w:lang w:val="en-US"/>
              </w:rPr>
            </w:pPr>
            <w:r w:rsidRPr="00065290">
              <w:rPr>
                <w:color w:val="000000"/>
                <w:lang w:val="en-US"/>
              </w:rPr>
              <w:t>Certifications and standards: what they signal, boundary conditions, and when they help (or don’t)</w:t>
            </w:r>
          </w:p>
        </w:tc>
      </w:tr>
      <w:tr w:rsidR="009F2F9A" w14:paraId="7D5E25A3" w14:textId="77777777">
        <w:trPr>
          <w:trHeight w:val="270"/>
          <w:jc w:val="center"/>
        </w:trPr>
        <w:tc>
          <w:tcPr>
            <w:tcW w:w="1524" w:type="dxa"/>
            <w:vMerge/>
            <w:shd w:val="clear" w:color="auto" w:fill="D9D9D9"/>
            <w:vAlign w:val="center"/>
          </w:tcPr>
          <w:p w14:paraId="0B3DF39E"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62B7A7F3"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9</w:t>
            </w:r>
          </w:p>
        </w:tc>
        <w:tc>
          <w:tcPr>
            <w:tcW w:w="7823" w:type="dxa"/>
            <w:gridSpan w:val="8"/>
          </w:tcPr>
          <w:p w14:paraId="4EAD2776"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Responsible Sourcing Under Profit Pressure (Part 1)</w:t>
            </w:r>
          </w:p>
          <w:p w14:paraId="63CFB7D3" w14:textId="77777777" w:rsidR="00065290" w:rsidRPr="00065290" w:rsidRDefault="00065290" w:rsidP="00065290">
            <w:pPr>
              <w:numPr>
                <w:ilvl w:val="0"/>
                <w:numId w:val="11"/>
              </w:numPr>
              <w:pBdr>
                <w:top w:val="nil"/>
                <w:left w:val="nil"/>
                <w:bottom w:val="nil"/>
                <w:right w:val="nil"/>
                <w:between w:val="nil"/>
              </w:pBdr>
              <w:spacing w:after="0" w:line="240" w:lineRule="auto"/>
              <w:rPr>
                <w:color w:val="000000"/>
                <w:lang w:val="en-US"/>
              </w:rPr>
            </w:pPr>
            <w:r w:rsidRPr="00065290">
              <w:rPr>
                <w:color w:val="000000"/>
                <w:lang w:val="en-US"/>
              </w:rPr>
              <w:t>Sourcing foundations: supplier selection, single vs. multiple sourcing, and supplier relationship management</w:t>
            </w:r>
          </w:p>
          <w:p w14:paraId="3AB2EDEB" w14:textId="15733C4D" w:rsidR="009F2F9A" w:rsidRPr="00065290" w:rsidRDefault="00065290" w:rsidP="00065290">
            <w:pPr>
              <w:numPr>
                <w:ilvl w:val="0"/>
                <w:numId w:val="11"/>
              </w:numPr>
              <w:pBdr>
                <w:top w:val="nil"/>
                <w:left w:val="nil"/>
                <w:bottom w:val="nil"/>
                <w:right w:val="nil"/>
                <w:between w:val="nil"/>
              </w:pBdr>
              <w:spacing w:after="0" w:line="240" w:lineRule="auto"/>
              <w:rPr>
                <w:color w:val="000000"/>
                <w:lang w:val="en-US"/>
              </w:rPr>
            </w:pPr>
            <w:r w:rsidRPr="00065290">
              <w:rPr>
                <w:color w:val="000000"/>
                <w:lang w:val="en-US"/>
              </w:rPr>
              <w:t>ESG-adjusted total cost of ownership (TCO): cost categories, risk costs, assurance costs, and externalities</w:t>
            </w:r>
          </w:p>
        </w:tc>
      </w:tr>
      <w:tr w:rsidR="009F2F9A" w14:paraId="28E3972B" w14:textId="77777777">
        <w:trPr>
          <w:trHeight w:val="270"/>
          <w:jc w:val="center"/>
        </w:trPr>
        <w:tc>
          <w:tcPr>
            <w:tcW w:w="1524" w:type="dxa"/>
            <w:vMerge/>
            <w:shd w:val="clear" w:color="auto" w:fill="D9D9D9"/>
            <w:vAlign w:val="center"/>
          </w:tcPr>
          <w:p w14:paraId="1FD6D32E"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0F705405"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10</w:t>
            </w:r>
          </w:p>
        </w:tc>
        <w:tc>
          <w:tcPr>
            <w:tcW w:w="7823" w:type="dxa"/>
            <w:gridSpan w:val="8"/>
          </w:tcPr>
          <w:p w14:paraId="123B4FBA"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Responsible Sourcing Under Profit Pressure (Part 2)</w:t>
            </w:r>
          </w:p>
          <w:p w14:paraId="086E5C27" w14:textId="77777777" w:rsidR="00065290" w:rsidRPr="00065290" w:rsidRDefault="00065290" w:rsidP="00065290">
            <w:pPr>
              <w:numPr>
                <w:ilvl w:val="0"/>
                <w:numId w:val="12"/>
              </w:numPr>
              <w:pBdr>
                <w:top w:val="nil"/>
                <w:left w:val="nil"/>
                <w:bottom w:val="nil"/>
                <w:right w:val="nil"/>
                <w:between w:val="nil"/>
              </w:pBdr>
              <w:spacing w:after="0" w:line="240" w:lineRule="auto"/>
              <w:rPr>
                <w:color w:val="000000"/>
                <w:lang w:val="en-US"/>
              </w:rPr>
            </w:pPr>
            <w:r w:rsidRPr="00065290">
              <w:rPr>
                <w:color w:val="000000"/>
                <w:lang w:val="en-US"/>
              </w:rPr>
              <w:t>Applying ESG-adjusted TCO: scenario comparisons and sensitivity to risk/penalty assumptions</w:t>
            </w:r>
          </w:p>
          <w:p w14:paraId="63540228" w14:textId="6E193BDC" w:rsidR="009F2F9A" w:rsidRPr="00065290" w:rsidRDefault="00065290" w:rsidP="00065290">
            <w:pPr>
              <w:numPr>
                <w:ilvl w:val="0"/>
                <w:numId w:val="12"/>
              </w:numPr>
              <w:pBdr>
                <w:top w:val="nil"/>
                <w:left w:val="nil"/>
                <w:bottom w:val="nil"/>
                <w:right w:val="nil"/>
                <w:between w:val="nil"/>
              </w:pBdr>
              <w:spacing w:after="0" w:line="240" w:lineRule="auto"/>
              <w:rPr>
                <w:color w:val="000000"/>
                <w:lang w:val="en-US"/>
              </w:rPr>
            </w:pPr>
            <w:r w:rsidRPr="00065290">
              <w:rPr>
                <w:color w:val="000000"/>
                <w:lang w:val="en-US"/>
              </w:rPr>
              <w:t>Pricing under ESG cost pressure: pass-through limits, value framing, and contract-based cost sharing</w:t>
            </w:r>
          </w:p>
        </w:tc>
      </w:tr>
      <w:tr w:rsidR="009F2F9A" w14:paraId="1D98DEE0" w14:textId="77777777">
        <w:trPr>
          <w:trHeight w:val="270"/>
          <w:jc w:val="center"/>
        </w:trPr>
        <w:tc>
          <w:tcPr>
            <w:tcW w:w="1524" w:type="dxa"/>
            <w:vMerge/>
            <w:shd w:val="clear" w:color="auto" w:fill="D9D9D9"/>
            <w:vAlign w:val="center"/>
          </w:tcPr>
          <w:p w14:paraId="3E2B0FE8"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150E1578"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11</w:t>
            </w:r>
          </w:p>
        </w:tc>
        <w:tc>
          <w:tcPr>
            <w:tcW w:w="7823" w:type="dxa"/>
            <w:gridSpan w:val="8"/>
          </w:tcPr>
          <w:p w14:paraId="370EB766"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ESG as Supply Chain Risk Management (Part 1)</w:t>
            </w:r>
          </w:p>
          <w:p w14:paraId="4A9E9C18" w14:textId="77777777" w:rsidR="00065290" w:rsidRPr="00065290" w:rsidRDefault="00065290" w:rsidP="00065290">
            <w:pPr>
              <w:numPr>
                <w:ilvl w:val="0"/>
                <w:numId w:val="13"/>
              </w:numPr>
              <w:pBdr>
                <w:top w:val="nil"/>
                <w:left w:val="nil"/>
                <w:bottom w:val="nil"/>
                <w:right w:val="nil"/>
                <w:between w:val="nil"/>
              </w:pBdr>
              <w:spacing w:after="0" w:line="240" w:lineRule="auto"/>
              <w:rPr>
                <w:color w:val="000000"/>
                <w:lang w:val="en-US"/>
              </w:rPr>
            </w:pPr>
            <w:r w:rsidRPr="00065290">
              <w:rPr>
                <w:color w:val="000000"/>
                <w:lang w:val="en-US"/>
              </w:rPr>
              <w:t>Risk-based ESG process: identify–assess–mitigate–monitor across tiers</w:t>
            </w:r>
          </w:p>
          <w:p w14:paraId="585A5C6E" w14:textId="46D9316A" w:rsidR="009F2F9A" w:rsidRPr="00065290" w:rsidRDefault="00065290" w:rsidP="00065290">
            <w:pPr>
              <w:numPr>
                <w:ilvl w:val="0"/>
                <w:numId w:val="13"/>
              </w:numPr>
              <w:pBdr>
                <w:top w:val="nil"/>
                <w:left w:val="nil"/>
                <w:bottom w:val="nil"/>
                <w:right w:val="nil"/>
                <w:between w:val="nil"/>
              </w:pBdr>
              <w:spacing w:after="0" w:line="240" w:lineRule="auto"/>
              <w:rPr>
                <w:color w:val="000000"/>
                <w:lang w:val="en-US"/>
              </w:rPr>
            </w:pPr>
            <w:r w:rsidRPr="00065290">
              <w:rPr>
                <w:color w:val="000000"/>
                <w:lang w:val="en-US"/>
              </w:rPr>
              <w:t>Disruption planning with ESG: mapping critical nodes, trigger points for dual sourcing, and early-warning signals</w:t>
            </w:r>
          </w:p>
        </w:tc>
      </w:tr>
      <w:tr w:rsidR="009F2F9A" w14:paraId="23EA6D3C" w14:textId="77777777">
        <w:trPr>
          <w:trHeight w:val="270"/>
          <w:jc w:val="center"/>
        </w:trPr>
        <w:tc>
          <w:tcPr>
            <w:tcW w:w="1524" w:type="dxa"/>
            <w:vMerge/>
            <w:shd w:val="clear" w:color="auto" w:fill="D9D9D9"/>
            <w:vAlign w:val="center"/>
          </w:tcPr>
          <w:p w14:paraId="0CAAF4F8"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15848D69"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12</w:t>
            </w:r>
          </w:p>
        </w:tc>
        <w:tc>
          <w:tcPr>
            <w:tcW w:w="7823" w:type="dxa"/>
            <w:gridSpan w:val="8"/>
          </w:tcPr>
          <w:p w14:paraId="4443A6DF"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ESG as Supply Chain Risk Management (Part 2)</w:t>
            </w:r>
          </w:p>
          <w:p w14:paraId="7265A20F" w14:textId="77777777" w:rsidR="00065290" w:rsidRPr="00065290" w:rsidRDefault="00065290" w:rsidP="00065290">
            <w:pPr>
              <w:numPr>
                <w:ilvl w:val="0"/>
                <w:numId w:val="14"/>
              </w:numPr>
              <w:pBdr>
                <w:top w:val="nil"/>
                <w:left w:val="nil"/>
                <w:bottom w:val="nil"/>
                <w:right w:val="nil"/>
                <w:between w:val="nil"/>
              </w:pBdr>
              <w:spacing w:after="0" w:line="240" w:lineRule="auto"/>
              <w:rPr>
                <w:color w:val="000000"/>
                <w:lang w:val="en-US"/>
              </w:rPr>
            </w:pPr>
            <w:r w:rsidRPr="00065290">
              <w:rPr>
                <w:color w:val="000000"/>
                <w:lang w:val="en-US"/>
              </w:rPr>
              <w:t>Decision tools for resilience: risk matrices, stress tests, supplier risk scoring, and buffers</w:t>
            </w:r>
          </w:p>
          <w:p w14:paraId="1931BB48" w14:textId="4CD2C83A" w:rsidR="009F2F9A" w:rsidRPr="00065290" w:rsidRDefault="00065290" w:rsidP="00065290">
            <w:pPr>
              <w:numPr>
                <w:ilvl w:val="0"/>
                <w:numId w:val="14"/>
              </w:numPr>
              <w:pBdr>
                <w:top w:val="nil"/>
                <w:left w:val="nil"/>
                <w:bottom w:val="nil"/>
                <w:right w:val="nil"/>
                <w:between w:val="nil"/>
              </w:pBdr>
              <w:spacing w:after="0" w:line="240" w:lineRule="auto"/>
              <w:rPr>
                <w:color w:val="000000"/>
                <w:lang w:val="en-US"/>
              </w:rPr>
            </w:pPr>
            <w:r w:rsidRPr="00065290">
              <w:rPr>
                <w:color w:val="000000"/>
                <w:lang w:val="en-US"/>
              </w:rPr>
              <w:t>Balancing resilience and sustainability: redundancy vs. efficiency, inventory vs. obsolescence, and “green buffers”</w:t>
            </w:r>
          </w:p>
        </w:tc>
      </w:tr>
      <w:tr w:rsidR="009F2F9A" w14:paraId="0EB5C7C8" w14:textId="77777777">
        <w:trPr>
          <w:trHeight w:val="270"/>
          <w:jc w:val="center"/>
        </w:trPr>
        <w:tc>
          <w:tcPr>
            <w:tcW w:w="1524" w:type="dxa"/>
            <w:vMerge/>
            <w:shd w:val="clear" w:color="auto" w:fill="D9D9D9"/>
            <w:vAlign w:val="center"/>
          </w:tcPr>
          <w:p w14:paraId="736D537C"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4428C132"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13</w:t>
            </w:r>
          </w:p>
        </w:tc>
        <w:tc>
          <w:tcPr>
            <w:tcW w:w="7823" w:type="dxa"/>
            <w:gridSpan w:val="8"/>
          </w:tcPr>
          <w:p w14:paraId="5B6B21FE"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Sustainable Transportation in the Supply Chain</w:t>
            </w:r>
          </w:p>
          <w:p w14:paraId="3803EAB6" w14:textId="77777777" w:rsidR="00065290" w:rsidRPr="00065290" w:rsidRDefault="00065290" w:rsidP="00065290">
            <w:pPr>
              <w:numPr>
                <w:ilvl w:val="0"/>
                <w:numId w:val="15"/>
              </w:numPr>
              <w:pBdr>
                <w:top w:val="nil"/>
                <w:left w:val="nil"/>
                <w:bottom w:val="nil"/>
                <w:right w:val="nil"/>
                <w:between w:val="nil"/>
              </w:pBdr>
              <w:spacing w:after="0" w:line="240" w:lineRule="auto"/>
              <w:rPr>
                <w:color w:val="000000"/>
                <w:lang w:val="en-US"/>
              </w:rPr>
            </w:pPr>
            <w:r w:rsidRPr="00065290">
              <w:rPr>
                <w:color w:val="000000"/>
                <w:lang w:val="en-US"/>
              </w:rPr>
              <w:t>Transportation modes and key decisions: mode choice, routing, load planning, and intermodal options</w:t>
            </w:r>
          </w:p>
          <w:p w14:paraId="09500F01" w14:textId="77777777" w:rsidR="00065290" w:rsidRPr="00065290" w:rsidRDefault="00065290" w:rsidP="00065290">
            <w:pPr>
              <w:numPr>
                <w:ilvl w:val="0"/>
                <w:numId w:val="15"/>
              </w:numPr>
              <w:pBdr>
                <w:top w:val="nil"/>
                <w:left w:val="nil"/>
                <w:bottom w:val="nil"/>
                <w:right w:val="nil"/>
                <w:between w:val="nil"/>
              </w:pBdr>
              <w:spacing w:after="0" w:line="240" w:lineRule="auto"/>
              <w:rPr>
                <w:color w:val="000000"/>
                <w:lang w:val="en-US"/>
              </w:rPr>
            </w:pPr>
            <w:r w:rsidRPr="00065290">
              <w:rPr>
                <w:color w:val="000000"/>
                <w:lang w:val="en-US"/>
              </w:rPr>
              <w:t>ESG performance in transportation: emissions accounting basics and service–emissions trade-offs</w:t>
            </w:r>
          </w:p>
          <w:p w14:paraId="6A886C76" w14:textId="32FD45B3" w:rsidR="009F2F9A" w:rsidRPr="00065290" w:rsidRDefault="00065290" w:rsidP="00065290">
            <w:pPr>
              <w:numPr>
                <w:ilvl w:val="0"/>
                <w:numId w:val="15"/>
              </w:numPr>
              <w:pBdr>
                <w:top w:val="nil"/>
                <w:left w:val="nil"/>
                <w:bottom w:val="nil"/>
                <w:right w:val="nil"/>
                <w:between w:val="nil"/>
              </w:pBdr>
              <w:spacing w:after="0" w:line="240" w:lineRule="auto"/>
              <w:rPr>
                <w:color w:val="000000"/>
                <w:lang w:val="en-US"/>
              </w:rPr>
            </w:pPr>
            <w:r w:rsidRPr="00065290">
              <w:rPr>
                <w:color w:val="000000"/>
                <w:lang w:val="en-US"/>
              </w:rPr>
              <w:t>Consolidation vs. frequency: impacts on inventory, lead-time variability, cost, and carbon</w:t>
            </w:r>
          </w:p>
        </w:tc>
      </w:tr>
      <w:tr w:rsidR="009F2F9A" w14:paraId="3DC6F757" w14:textId="77777777">
        <w:trPr>
          <w:trHeight w:val="270"/>
          <w:jc w:val="center"/>
        </w:trPr>
        <w:tc>
          <w:tcPr>
            <w:tcW w:w="1524" w:type="dxa"/>
            <w:vMerge/>
            <w:shd w:val="clear" w:color="auto" w:fill="D9D9D9"/>
            <w:vAlign w:val="center"/>
          </w:tcPr>
          <w:p w14:paraId="6EBE001F"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0A179582"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14</w:t>
            </w:r>
          </w:p>
        </w:tc>
        <w:tc>
          <w:tcPr>
            <w:tcW w:w="7823" w:type="dxa"/>
            <w:gridSpan w:val="8"/>
          </w:tcPr>
          <w:p w14:paraId="62CCFEDC"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Designing Sustainable Distribution Networks + ESG Innovation</w:t>
            </w:r>
          </w:p>
          <w:p w14:paraId="6D5A38F4" w14:textId="77777777" w:rsidR="00065290"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Why location strategy matters: facility siting drivers, market access, and risk exposure</w:t>
            </w:r>
          </w:p>
          <w:p w14:paraId="3947CC39" w14:textId="77777777" w:rsidR="00065290"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ESG impacts of network design: emissions hotspots, community impacts, labor availability, and compliance risk</w:t>
            </w:r>
          </w:p>
          <w:p w14:paraId="1272699F" w14:textId="77777777" w:rsidR="00065290"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Practical tools for network design: scenario planning, constraint setting, and KPI dashboards</w:t>
            </w:r>
          </w:p>
          <w:p w14:paraId="45CF5399" w14:textId="03EE68A8" w:rsidR="009F2F9A"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ESG as an innovation engine: innovation types, digital tracking/monitoring tools, and implementation pitfalls</w:t>
            </w:r>
          </w:p>
        </w:tc>
      </w:tr>
      <w:tr w:rsidR="009F2F9A" w14:paraId="51EE85DB" w14:textId="77777777">
        <w:trPr>
          <w:trHeight w:val="368"/>
          <w:jc w:val="center"/>
        </w:trPr>
        <w:tc>
          <w:tcPr>
            <w:tcW w:w="1524" w:type="dxa"/>
            <w:vMerge/>
            <w:shd w:val="clear" w:color="auto" w:fill="D9D9D9"/>
            <w:vAlign w:val="center"/>
          </w:tcPr>
          <w:p w14:paraId="150B8785"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765AB4A8"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15</w:t>
            </w:r>
          </w:p>
        </w:tc>
        <w:tc>
          <w:tcPr>
            <w:tcW w:w="7823" w:type="dxa"/>
            <w:gridSpan w:val="8"/>
          </w:tcPr>
          <w:p w14:paraId="0235369A"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Day 15. Case Analysis Presentations</w:t>
            </w:r>
          </w:p>
          <w:p w14:paraId="4E7C58AF" w14:textId="6BC3CEFC" w:rsidR="00065290" w:rsidRPr="00065290" w:rsidRDefault="00065290" w:rsidP="00065290">
            <w:pPr>
              <w:numPr>
                <w:ilvl w:val="0"/>
                <w:numId w:val="17"/>
              </w:numPr>
              <w:pBdr>
                <w:top w:val="nil"/>
                <w:left w:val="nil"/>
                <w:bottom w:val="nil"/>
                <w:right w:val="nil"/>
                <w:between w:val="nil"/>
              </w:pBdr>
              <w:spacing w:after="0" w:line="240" w:lineRule="auto"/>
              <w:rPr>
                <w:color w:val="000000"/>
                <w:lang w:val="en-US"/>
              </w:rPr>
            </w:pPr>
            <w:r w:rsidRPr="00065290">
              <w:rPr>
                <w:color w:val="000000"/>
                <w:lang w:val="en-US"/>
              </w:rPr>
              <w:t>Team presentations</w:t>
            </w:r>
          </w:p>
          <w:p w14:paraId="136307E6" w14:textId="51E88D9C" w:rsidR="00065290" w:rsidRPr="00065290" w:rsidRDefault="00065290" w:rsidP="00065290">
            <w:pPr>
              <w:numPr>
                <w:ilvl w:val="0"/>
                <w:numId w:val="17"/>
              </w:numPr>
              <w:pBdr>
                <w:top w:val="nil"/>
                <w:left w:val="nil"/>
                <w:bottom w:val="nil"/>
                <w:right w:val="nil"/>
                <w:between w:val="nil"/>
              </w:pBdr>
              <w:spacing w:after="0" w:line="240" w:lineRule="auto"/>
              <w:rPr>
                <w:color w:val="000000"/>
                <w:lang w:val="en-US"/>
              </w:rPr>
            </w:pPr>
            <w:r w:rsidRPr="00065290">
              <w:rPr>
                <w:color w:val="000000"/>
                <w:lang w:val="en-US"/>
              </w:rPr>
              <w:lastRenderedPageBreak/>
              <w:t>Q&amp;A and feedback</w:t>
            </w:r>
          </w:p>
          <w:p w14:paraId="10D18BD8" w14:textId="317189E4" w:rsidR="009F2F9A" w:rsidRPr="00065290" w:rsidRDefault="00065290" w:rsidP="00065290">
            <w:pPr>
              <w:numPr>
                <w:ilvl w:val="0"/>
                <w:numId w:val="17"/>
              </w:numPr>
              <w:pBdr>
                <w:top w:val="nil"/>
                <w:left w:val="nil"/>
                <w:bottom w:val="nil"/>
                <w:right w:val="nil"/>
                <w:between w:val="nil"/>
              </w:pBdr>
              <w:spacing w:after="0" w:line="240" w:lineRule="auto"/>
              <w:rPr>
                <w:color w:val="000000"/>
                <w:lang w:val="en-US"/>
              </w:rPr>
            </w:pPr>
            <w:r w:rsidRPr="00065290">
              <w:rPr>
                <w:color w:val="000000"/>
                <w:lang w:val="en-US"/>
              </w:rPr>
              <w:t>Wrap-up and key takeaways</w:t>
            </w:r>
          </w:p>
        </w:tc>
      </w:tr>
    </w:tbl>
    <w:p w14:paraId="4691F8BA" w14:textId="77777777" w:rsidR="009F2F9A" w:rsidRDefault="009F2F9A">
      <w:pPr>
        <w:pBdr>
          <w:top w:val="nil"/>
          <w:left w:val="nil"/>
          <w:bottom w:val="nil"/>
          <w:right w:val="nil"/>
          <w:between w:val="nil"/>
        </w:pBdr>
        <w:spacing w:after="0" w:line="240" w:lineRule="auto"/>
        <w:rPr>
          <w:color w:val="000000"/>
          <w:sz w:val="14"/>
          <w:szCs w:val="14"/>
        </w:rPr>
      </w:pPr>
    </w:p>
    <w:sectPr w:rsidR="009F2F9A">
      <w:headerReference w:type="default" r:id="rId10"/>
      <w:headerReference w:type="first" r:id="rId11"/>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4E2A4" w14:textId="77777777" w:rsidR="00422A22" w:rsidRDefault="00422A22">
      <w:pPr>
        <w:spacing w:after="0" w:line="240" w:lineRule="auto"/>
      </w:pPr>
      <w:r>
        <w:separator/>
      </w:r>
    </w:p>
  </w:endnote>
  <w:endnote w:type="continuationSeparator" w:id="0">
    <w:p w14:paraId="15961209" w14:textId="77777777" w:rsidR="00422A22" w:rsidRDefault="00422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embedRegular r:id="rId1" w:subsetted="1" w:fontKey="{7C366A28-05C6-47B7-BF4D-8824C9DDC8D8}"/>
    <w:embedBold r:id="rId2" w:subsetted="1" w:fontKey="{604D2F41-427A-4A78-AE88-9A89E05F9C06}"/>
  </w:font>
  <w:font w:name="Noto Sans Symbols">
    <w:charset w:val="00"/>
    <w:family w:val="auto"/>
    <w:pitch w:val="default"/>
    <w:embedRegular r:id="rId3" w:fontKey="{F7AAA4B9-F1B3-43A2-8D7E-45EA553D37A9}"/>
  </w:font>
  <w:font w:name="Georgia">
    <w:panose1 w:val="02040502050405020303"/>
    <w:charset w:val="00"/>
    <w:family w:val="roman"/>
    <w:pitch w:val="variable"/>
    <w:sig w:usb0="00000287" w:usb1="00000000" w:usb2="00000000" w:usb3="00000000" w:csb0="0000009F" w:csb1="00000000"/>
    <w:embedItalic r:id="rId4" w:fontKey="{6CC9A877-77E0-4207-8281-8525D7FCAC8F}"/>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D071A" w14:textId="77777777" w:rsidR="00422A22" w:rsidRDefault="00422A22">
      <w:pPr>
        <w:spacing w:after="0" w:line="240" w:lineRule="auto"/>
      </w:pPr>
      <w:r>
        <w:separator/>
      </w:r>
    </w:p>
  </w:footnote>
  <w:footnote w:type="continuationSeparator" w:id="0">
    <w:p w14:paraId="606AAE6C" w14:textId="77777777" w:rsidR="00422A22" w:rsidRDefault="00422A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9BFAA" w14:textId="77777777" w:rsidR="009F2F9A" w:rsidRDefault="00E56466">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5B93465A" wp14:editId="3BFECDD3">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9AFAD" w14:textId="77777777" w:rsidR="009F2F9A" w:rsidRDefault="00E56466">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392AFD68" wp14:editId="41484BE2">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34485"/>
    <w:multiLevelType w:val="multilevel"/>
    <w:tmpl w:val="DD7E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01B61"/>
    <w:multiLevelType w:val="multilevel"/>
    <w:tmpl w:val="17D2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BF5DCE"/>
    <w:multiLevelType w:val="hybridMultilevel"/>
    <w:tmpl w:val="CD84D290"/>
    <w:lvl w:ilvl="0" w:tplc="2E8E8740">
      <w:start w:val="1"/>
      <w:numFmt w:val="bullet"/>
      <w:lvlText w:val="-"/>
      <w:lvlJc w:val="left"/>
      <w:pPr>
        <w:ind w:left="880" w:hanging="440"/>
      </w:pPr>
      <w:rPr>
        <w:rFonts w:ascii="굴림" w:eastAsia="굴림" w:hAnsi="굴림"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292A6BCC"/>
    <w:multiLevelType w:val="multilevel"/>
    <w:tmpl w:val="9B185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B92FF1"/>
    <w:multiLevelType w:val="multilevel"/>
    <w:tmpl w:val="B6AEC984"/>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5" w15:restartNumberingAfterBreak="0">
    <w:nsid w:val="3CCA434D"/>
    <w:multiLevelType w:val="multilevel"/>
    <w:tmpl w:val="6A14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453D61"/>
    <w:multiLevelType w:val="multilevel"/>
    <w:tmpl w:val="DDB64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1424EB"/>
    <w:multiLevelType w:val="multilevel"/>
    <w:tmpl w:val="F9AE3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7C6D3E"/>
    <w:multiLevelType w:val="multilevel"/>
    <w:tmpl w:val="45F2C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BF6633"/>
    <w:multiLevelType w:val="multilevel"/>
    <w:tmpl w:val="044E8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CC46AF"/>
    <w:multiLevelType w:val="multilevel"/>
    <w:tmpl w:val="BCAA4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3C7524"/>
    <w:multiLevelType w:val="hybridMultilevel"/>
    <w:tmpl w:val="7DF47A42"/>
    <w:lvl w:ilvl="0" w:tplc="2E8E8740">
      <w:start w:val="1"/>
      <w:numFmt w:val="bullet"/>
      <w:lvlText w:val="-"/>
      <w:lvlJc w:val="left"/>
      <w:pPr>
        <w:ind w:left="440" w:hanging="440"/>
      </w:pPr>
      <w:rPr>
        <w:rFonts w:ascii="굴림" w:eastAsia="굴림" w:hAnsi="굴림"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638C3904"/>
    <w:multiLevelType w:val="multilevel"/>
    <w:tmpl w:val="3E98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563BA9"/>
    <w:multiLevelType w:val="hybridMultilevel"/>
    <w:tmpl w:val="040215EE"/>
    <w:lvl w:ilvl="0" w:tplc="118C7684">
      <w:start w:val="1"/>
      <w:numFmt w:val="bullet"/>
      <w:lvlText w:val=""/>
      <w:lvlJc w:val="left"/>
      <w:pPr>
        <w:ind w:left="880" w:hanging="440"/>
      </w:pPr>
      <w:rPr>
        <w:rFonts w:ascii="Wingdings" w:hAnsi="Wingdings" w:hint="default"/>
      </w:rPr>
    </w:lvl>
    <w:lvl w:ilvl="1" w:tplc="FFFFFFFF">
      <w:start w:val="1"/>
      <w:numFmt w:val="bullet"/>
      <w:lvlText w:val=""/>
      <w:lvlJc w:val="left"/>
      <w:pPr>
        <w:ind w:left="1320" w:hanging="440"/>
      </w:pPr>
      <w:rPr>
        <w:rFonts w:ascii="Wingdings" w:hAnsi="Wingdings" w:hint="default"/>
      </w:rPr>
    </w:lvl>
    <w:lvl w:ilvl="2" w:tplc="FFFFFFFF">
      <w:start w:val="1"/>
      <w:numFmt w:val="bullet"/>
      <w:lvlText w:val=""/>
      <w:lvlJc w:val="left"/>
      <w:pPr>
        <w:ind w:left="1760" w:hanging="440"/>
      </w:pPr>
      <w:rPr>
        <w:rFonts w:ascii="Wingdings" w:hAnsi="Wingdings" w:hint="default"/>
      </w:rPr>
    </w:lvl>
    <w:lvl w:ilvl="3" w:tplc="FFFFFFFF">
      <w:start w:val="1"/>
      <w:numFmt w:val="bullet"/>
      <w:lvlText w:val=""/>
      <w:lvlJc w:val="left"/>
      <w:pPr>
        <w:ind w:left="2200" w:hanging="440"/>
      </w:pPr>
      <w:rPr>
        <w:rFonts w:ascii="Wingdings" w:hAnsi="Wingdings" w:hint="default"/>
      </w:rPr>
    </w:lvl>
    <w:lvl w:ilvl="4" w:tplc="FFFFFFFF">
      <w:start w:val="1"/>
      <w:numFmt w:val="bullet"/>
      <w:lvlText w:val=""/>
      <w:lvlJc w:val="left"/>
      <w:pPr>
        <w:ind w:left="2640" w:hanging="440"/>
      </w:pPr>
      <w:rPr>
        <w:rFonts w:ascii="Wingdings" w:hAnsi="Wingdings" w:hint="default"/>
      </w:rPr>
    </w:lvl>
    <w:lvl w:ilvl="5" w:tplc="FFFFFFFF">
      <w:start w:val="1"/>
      <w:numFmt w:val="bullet"/>
      <w:lvlText w:val=""/>
      <w:lvlJc w:val="left"/>
      <w:pPr>
        <w:ind w:left="3080" w:hanging="440"/>
      </w:pPr>
      <w:rPr>
        <w:rFonts w:ascii="Wingdings" w:hAnsi="Wingdings" w:hint="default"/>
      </w:rPr>
    </w:lvl>
    <w:lvl w:ilvl="6" w:tplc="FFFFFFFF">
      <w:start w:val="1"/>
      <w:numFmt w:val="bullet"/>
      <w:lvlText w:val=""/>
      <w:lvlJc w:val="left"/>
      <w:pPr>
        <w:ind w:left="3520" w:hanging="440"/>
      </w:pPr>
      <w:rPr>
        <w:rFonts w:ascii="Wingdings" w:hAnsi="Wingdings" w:hint="default"/>
      </w:rPr>
    </w:lvl>
    <w:lvl w:ilvl="7" w:tplc="FFFFFFFF">
      <w:start w:val="1"/>
      <w:numFmt w:val="bullet"/>
      <w:lvlText w:val=""/>
      <w:lvlJc w:val="left"/>
      <w:pPr>
        <w:ind w:left="3960" w:hanging="440"/>
      </w:pPr>
      <w:rPr>
        <w:rFonts w:ascii="Wingdings" w:hAnsi="Wingdings" w:hint="default"/>
      </w:rPr>
    </w:lvl>
    <w:lvl w:ilvl="8" w:tplc="FFFFFFFF">
      <w:start w:val="1"/>
      <w:numFmt w:val="bullet"/>
      <w:lvlText w:val=""/>
      <w:lvlJc w:val="left"/>
      <w:pPr>
        <w:ind w:left="4400" w:hanging="440"/>
      </w:pPr>
      <w:rPr>
        <w:rFonts w:ascii="Wingdings" w:hAnsi="Wingdings" w:hint="default"/>
      </w:rPr>
    </w:lvl>
  </w:abstractNum>
  <w:abstractNum w:abstractNumId="14" w15:restartNumberingAfterBreak="0">
    <w:nsid w:val="744B2EF0"/>
    <w:multiLevelType w:val="multilevel"/>
    <w:tmpl w:val="D40E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0C1048"/>
    <w:multiLevelType w:val="multilevel"/>
    <w:tmpl w:val="B51C9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010450"/>
    <w:multiLevelType w:val="multilevel"/>
    <w:tmpl w:val="3B325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4B6193"/>
    <w:multiLevelType w:val="multilevel"/>
    <w:tmpl w:val="2FE23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9705EA"/>
    <w:multiLevelType w:val="multilevel"/>
    <w:tmpl w:val="1902A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3"/>
  </w:num>
  <w:num w:numId="3">
    <w:abstractNumId w:val="12"/>
  </w:num>
  <w:num w:numId="4">
    <w:abstractNumId w:val="15"/>
  </w:num>
  <w:num w:numId="5">
    <w:abstractNumId w:val="17"/>
  </w:num>
  <w:num w:numId="6">
    <w:abstractNumId w:val="5"/>
  </w:num>
  <w:num w:numId="7">
    <w:abstractNumId w:val="16"/>
  </w:num>
  <w:num w:numId="8">
    <w:abstractNumId w:val="18"/>
  </w:num>
  <w:num w:numId="9">
    <w:abstractNumId w:val="8"/>
  </w:num>
  <w:num w:numId="10">
    <w:abstractNumId w:val="1"/>
  </w:num>
  <w:num w:numId="11">
    <w:abstractNumId w:val="9"/>
  </w:num>
  <w:num w:numId="12">
    <w:abstractNumId w:val="3"/>
  </w:num>
  <w:num w:numId="13">
    <w:abstractNumId w:val="10"/>
  </w:num>
  <w:num w:numId="14">
    <w:abstractNumId w:val="0"/>
  </w:num>
  <w:num w:numId="15">
    <w:abstractNumId w:val="6"/>
  </w:num>
  <w:num w:numId="16">
    <w:abstractNumId w:val="14"/>
  </w:num>
  <w:num w:numId="17">
    <w:abstractNumId w:val="7"/>
  </w:num>
  <w:num w:numId="18">
    <w:abstractNumId w:val="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TrueTypeFonts/>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F9A"/>
    <w:rsid w:val="00065290"/>
    <w:rsid w:val="000A2070"/>
    <w:rsid w:val="001A0D5B"/>
    <w:rsid w:val="00381407"/>
    <w:rsid w:val="00422A22"/>
    <w:rsid w:val="006D6BE6"/>
    <w:rsid w:val="007D73C3"/>
    <w:rsid w:val="009F2F9A"/>
    <w:rsid w:val="00AE709B"/>
    <w:rsid w:val="00E5646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E334C"/>
  <w15:docId w15:val="{8EB3924F-0A32-4A22-9C35-949D7532B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uiPriority w:val="34"/>
    <w:qFormat/>
    <w:rsid w:val="0047229A"/>
    <w:pPr>
      <w:ind w:leftChars="400" w:left="800"/>
    </w:pPr>
  </w:style>
  <w:style w:type="paragraph" w:styleId="a6">
    <w:name w:val="header"/>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
    <w:tblPr>
      <w:tblStyleRowBandSize w:val="1"/>
      <w:tblStyleColBandSize w:val="1"/>
      <w:tblCellMar>
        <w:top w:w="0" w:type="dxa"/>
        <w:left w:w="115" w:type="dxa"/>
        <w:bottom w:w="0" w:type="dxa"/>
        <w:right w:w="115" w:type="dxa"/>
      </w:tblCellMar>
    </w:tblPr>
  </w:style>
  <w:style w:type="character" w:styleId="ac">
    <w:name w:val="FollowedHyperlink"/>
    <w:basedOn w:val="a0"/>
    <w:uiPriority w:val="99"/>
    <w:semiHidden/>
    <w:unhideWhenUsed/>
    <w:rsid w:val="000A20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myungkyo@hanyang.ac.k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bit.ly/MKK_HUBS1"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KF3yvxO5Yu2twbRLpSB7CxjOyg==">CgMxLjA4AHIhMWlkbzdLMDJEYW94bGNvWXhiVFpiY1lXM3E4S3BXR3Ay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1082</TotalTime>
  <Pages>4</Pages>
  <Words>851</Words>
  <Characters>4855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5</cp:revision>
  <dcterms:created xsi:type="dcterms:W3CDTF">2023-02-02T06:31:00Z</dcterms:created>
  <dcterms:modified xsi:type="dcterms:W3CDTF">2026-04-01T05:30:00Z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294be957-f4cd-44d2-b637-b77c860c0619</vt:lpwstr>
  </property>
</Properties>
</file>