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F5596D9" w14:textId="77777777" w:rsidR="00AA54B2" w:rsidRDefault="00AA54B2">
      <w:pPr>
        <w:pBdr>
          <w:top w:val="nil"/>
          <w:left w:val="nil"/>
          <w:bottom w:val="nil"/>
          <w:right w:val="nil"/>
          <w:between w:val="nil"/>
        </w:pBdr>
        <w:spacing w:after="0" w:line="276" w:lineRule="auto"/>
        <w:jc w:val="left"/>
        <w:rPr>
          <w:rFonts w:ascii="Arial" w:eastAsia="Arial" w:hAnsi="Arial" w:cs="Arial"/>
          <w:color w:val="000000"/>
          <w:sz w:val="22"/>
          <w:szCs w:val="22"/>
        </w:rPr>
      </w:pPr>
    </w:p>
    <w:tbl>
      <w:tblPr>
        <w:tblStyle w:val="a5"/>
        <w:tblW w:w="10531"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525"/>
        <w:gridCol w:w="2169"/>
        <w:gridCol w:w="2104"/>
        <w:gridCol w:w="1568"/>
        <w:gridCol w:w="804"/>
        <w:gridCol w:w="881"/>
        <w:gridCol w:w="944"/>
        <w:gridCol w:w="536"/>
      </w:tblGrid>
      <w:tr w:rsidR="00AA54B2" w14:paraId="62166895" w14:textId="77777777">
        <w:trPr>
          <w:trHeight w:val="397"/>
          <w:jc w:val="center"/>
        </w:trPr>
        <w:tc>
          <w:tcPr>
            <w:tcW w:w="1524" w:type="dxa"/>
            <w:vMerge w:val="restart"/>
            <w:shd w:val="clear" w:color="auto" w:fill="D9D9D9"/>
            <w:vAlign w:val="center"/>
          </w:tcPr>
          <w:p w14:paraId="4188ED88" w14:textId="77777777" w:rsidR="00AA54B2" w:rsidRDefault="00323FB9">
            <w:pPr>
              <w:pBdr>
                <w:top w:val="nil"/>
                <w:left w:val="nil"/>
                <w:bottom w:val="nil"/>
                <w:right w:val="nil"/>
                <w:between w:val="nil"/>
              </w:pBdr>
              <w:spacing w:after="0" w:line="240" w:lineRule="auto"/>
              <w:rPr>
                <w:b/>
                <w:bCs/>
                <w:color w:val="000000"/>
              </w:rPr>
            </w:pPr>
            <w:r>
              <w:rPr>
                <w:b/>
                <w:bCs/>
                <w:color w:val="000000"/>
              </w:rPr>
              <w:t>Faculty Information</w:t>
            </w:r>
          </w:p>
        </w:tc>
        <w:tc>
          <w:tcPr>
            <w:tcW w:w="2167" w:type="dxa"/>
            <w:shd w:val="clear" w:color="auto" w:fill="EDEDED"/>
            <w:vAlign w:val="center"/>
          </w:tcPr>
          <w:p w14:paraId="3D0D470F" w14:textId="77777777" w:rsidR="00AA54B2" w:rsidRDefault="00323FB9">
            <w:pPr>
              <w:pBdr>
                <w:top w:val="nil"/>
                <w:left w:val="nil"/>
                <w:bottom w:val="nil"/>
                <w:right w:val="nil"/>
                <w:between w:val="nil"/>
              </w:pBdr>
              <w:spacing w:after="0" w:line="240" w:lineRule="auto"/>
              <w:jc w:val="center"/>
              <w:rPr>
                <w:b/>
                <w:bCs/>
                <w:color w:val="000000"/>
              </w:rPr>
            </w:pPr>
            <w:r>
              <w:rPr>
                <w:b/>
                <w:bCs/>
                <w:color w:val="000000"/>
              </w:rPr>
              <w:t>Name</w:t>
            </w:r>
          </w:p>
        </w:tc>
        <w:tc>
          <w:tcPr>
            <w:tcW w:w="6831" w:type="dxa"/>
            <w:gridSpan w:val="6"/>
            <w:shd w:val="clear" w:color="auto" w:fill="auto"/>
          </w:tcPr>
          <w:p w14:paraId="416BDD52" w14:textId="77777777" w:rsidR="00AA54B2" w:rsidRDefault="00323FB9">
            <w:pPr>
              <w:spacing w:after="0" w:line="240" w:lineRule="auto"/>
            </w:pPr>
            <w:r>
              <w:rPr>
                <w:rFonts w:ascii="Times New Roman" w:eastAsia="Times New Roman" w:hAnsi="Times New Roman" w:cs="Times New Roman"/>
              </w:rPr>
              <w:t>Hyoung-Goo Kang</w:t>
            </w:r>
          </w:p>
        </w:tc>
      </w:tr>
      <w:tr w:rsidR="00AA54B2" w14:paraId="510A5736" w14:textId="77777777">
        <w:trPr>
          <w:trHeight w:val="397"/>
          <w:jc w:val="center"/>
        </w:trPr>
        <w:tc>
          <w:tcPr>
            <w:tcW w:w="1524" w:type="dxa"/>
            <w:vMerge/>
            <w:shd w:val="clear" w:color="auto" w:fill="D9D9D9"/>
            <w:vAlign w:val="center"/>
          </w:tcPr>
          <w:p w14:paraId="10B6F526" w14:textId="77777777" w:rsidR="00AA54B2" w:rsidRDefault="00AA54B2">
            <w:pPr>
              <w:pBdr>
                <w:top w:val="nil"/>
                <w:left w:val="nil"/>
                <w:bottom w:val="nil"/>
                <w:right w:val="nil"/>
                <w:between w:val="nil"/>
              </w:pBdr>
              <w:spacing w:after="0" w:line="276" w:lineRule="auto"/>
              <w:jc w:val="left"/>
              <w:rPr>
                <w:color w:val="000000"/>
              </w:rPr>
            </w:pPr>
          </w:p>
        </w:tc>
        <w:tc>
          <w:tcPr>
            <w:tcW w:w="2167" w:type="dxa"/>
            <w:shd w:val="clear" w:color="auto" w:fill="EDEDED"/>
            <w:vAlign w:val="center"/>
          </w:tcPr>
          <w:p w14:paraId="55E75E30" w14:textId="77777777" w:rsidR="00AA54B2" w:rsidRDefault="00323FB9">
            <w:pPr>
              <w:pBdr>
                <w:top w:val="nil"/>
                <w:left w:val="nil"/>
                <w:bottom w:val="nil"/>
                <w:right w:val="nil"/>
                <w:between w:val="nil"/>
              </w:pBdr>
              <w:spacing w:after="0" w:line="240" w:lineRule="auto"/>
              <w:jc w:val="center"/>
              <w:rPr>
                <w:b/>
                <w:bCs/>
                <w:color w:val="000000"/>
              </w:rPr>
            </w:pPr>
            <w:r>
              <w:rPr>
                <w:b/>
                <w:bCs/>
                <w:color w:val="000000"/>
              </w:rPr>
              <w:t>E-mail</w:t>
            </w:r>
          </w:p>
        </w:tc>
        <w:tc>
          <w:tcPr>
            <w:tcW w:w="6831" w:type="dxa"/>
            <w:gridSpan w:val="6"/>
            <w:shd w:val="clear" w:color="auto" w:fill="auto"/>
          </w:tcPr>
          <w:p w14:paraId="281537CC" w14:textId="77777777" w:rsidR="00AA54B2" w:rsidRDefault="001A4CF2">
            <w:pPr>
              <w:spacing w:after="0" w:line="240" w:lineRule="auto"/>
            </w:pPr>
            <w:hyperlink r:id="rId7">
              <w:r w:rsidR="00323FB9">
                <w:rPr>
                  <w:rFonts w:ascii="Times New Roman" w:eastAsia="Times New Roman" w:hAnsi="Times New Roman" w:cs="Times New Roman"/>
                  <w:color w:val="1155CC"/>
                  <w:u w:val="single"/>
                </w:rPr>
                <w:t>hyoungkang@hanyang.ac.kr</w:t>
              </w:r>
            </w:hyperlink>
            <w:r w:rsidR="00323FB9">
              <w:rPr>
                <w:rFonts w:ascii="Times New Roman" w:eastAsia="Times New Roman" w:hAnsi="Times New Roman" w:cs="Times New Roman"/>
              </w:rPr>
              <w:t xml:space="preserve"> </w:t>
            </w:r>
          </w:p>
        </w:tc>
      </w:tr>
      <w:tr w:rsidR="00AA54B2" w14:paraId="292D7499" w14:textId="77777777">
        <w:trPr>
          <w:trHeight w:val="397"/>
          <w:jc w:val="center"/>
        </w:trPr>
        <w:tc>
          <w:tcPr>
            <w:tcW w:w="1524" w:type="dxa"/>
            <w:vMerge/>
            <w:shd w:val="clear" w:color="auto" w:fill="D9D9D9"/>
            <w:vAlign w:val="center"/>
          </w:tcPr>
          <w:p w14:paraId="14C0A51C" w14:textId="77777777" w:rsidR="00AA54B2" w:rsidRDefault="00AA54B2">
            <w:pPr>
              <w:pBdr>
                <w:top w:val="nil"/>
                <w:left w:val="nil"/>
                <w:bottom w:val="nil"/>
                <w:right w:val="nil"/>
                <w:between w:val="nil"/>
              </w:pBdr>
              <w:spacing w:after="0" w:line="276" w:lineRule="auto"/>
              <w:jc w:val="left"/>
              <w:rPr>
                <w:color w:val="000000"/>
              </w:rPr>
            </w:pPr>
          </w:p>
        </w:tc>
        <w:tc>
          <w:tcPr>
            <w:tcW w:w="2167" w:type="dxa"/>
            <w:shd w:val="clear" w:color="auto" w:fill="EDEDED"/>
            <w:vAlign w:val="center"/>
          </w:tcPr>
          <w:p w14:paraId="3D8AEBA1" w14:textId="77777777" w:rsidR="00AA54B2" w:rsidRDefault="00323FB9">
            <w:pPr>
              <w:pBdr>
                <w:top w:val="nil"/>
                <w:left w:val="nil"/>
                <w:bottom w:val="nil"/>
                <w:right w:val="nil"/>
                <w:between w:val="nil"/>
              </w:pBdr>
              <w:spacing w:after="0" w:line="240" w:lineRule="auto"/>
              <w:jc w:val="center"/>
              <w:rPr>
                <w:b/>
                <w:bCs/>
                <w:color w:val="000000"/>
              </w:rPr>
            </w:pPr>
            <w:r>
              <w:rPr>
                <w:b/>
                <w:bCs/>
                <w:color w:val="000000"/>
              </w:rPr>
              <w:t>Home University</w:t>
            </w:r>
          </w:p>
        </w:tc>
        <w:tc>
          <w:tcPr>
            <w:tcW w:w="6831" w:type="dxa"/>
            <w:gridSpan w:val="6"/>
            <w:shd w:val="clear" w:color="auto" w:fill="auto"/>
          </w:tcPr>
          <w:p w14:paraId="157E4BC5" w14:textId="77777777" w:rsidR="00AA54B2" w:rsidRDefault="00323FB9">
            <w:pPr>
              <w:spacing w:after="0" w:line="240" w:lineRule="auto"/>
            </w:pPr>
            <w:r>
              <w:rPr>
                <w:rFonts w:ascii="Times New Roman" w:eastAsia="Times New Roman" w:hAnsi="Times New Roman" w:cs="Times New Roman"/>
              </w:rPr>
              <w:t>Hanyang University</w:t>
            </w:r>
          </w:p>
        </w:tc>
      </w:tr>
      <w:tr w:rsidR="00AA54B2" w14:paraId="67B909B4" w14:textId="77777777">
        <w:trPr>
          <w:trHeight w:val="397"/>
          <w:jc w:val="center"/>
        </w:trPr>
        <w:tc>
          <w:tcPr>
            <w:tcW w:w="1524" w:type="dxa"/>
            <w:vMerge/>
            <w:shd w:val="clear" w:color="auto" w:fill="D9D9D9"/>
            <w:vAlign w:val="center"/>
          </w:tcPr>
          <w:p w14:paraId="4FDED59E" w14:textId="77777777" w:rsidR="00AA54B2" w:rsidRDefault="00AA54B2">
            <w:pPr>
              <w:pBdr>
                <w:top w:val="nil"/>
                <w:left w:val="nil"/>
                <w:bottom w:val="nil"/>
                <w:right w:val="nil"/>
                <w:between w:val="nil"/>
              </w:pBdr>
              <w:spacing w:after="0" w:line="276" w:lineRule="auto"/>
              <w:jc w:val="left"/>
              <w:rPr>
                <w:color w:val="000000"/>
              </w:rPr>
            </w:pPr>
          </w:p>
        </w:tc>
        <w:tc>
          <w:tcPr>
            <w:tcW w:w="2167" w:type="dxa"/>
            <w:shd w:val="clear" w:color="auto" w:fill="EDEDED"/>
            <w:vAlign w:val="center"/>
          </w:tcPr>
          <w:p w14:paraId="32B5E58B" w14:textId="77777777" w:rsidR="00AA54B2" w:rsidRDefault="00323FB9">
            <w:pPr>
              <w:pBdr>
                <w:top w:val="nil"/>
                <w:left w:val="nil"/>
                <w:bottom w:val="nil"/>
                <w:right w:val="nil"/>
                <w:between w:val="nil"/>
              </w:pBdr>
              <w:spacing w:after="0" w:line="240" w:lineRule="auto"/>
              <w:jc w:val="center"/>
              <w:rPr>
                <w:b/>
                <w:bCs/>
                <w:color w:val="000000"/>
              </w:rPr>
            </w:pPr>
            <w:r>
              <w:rPr>
                <w:b/>
                <w:bCs/>
                <w:color w:val="000000"/>
              </w:rPr>
              <w:t>Department</w:t>
            </w:r>
          </w:p>
        </w:tc>
        <w:tc>
          <w:tcPr>
            <w:tcW w:w="6831" w:type="dxa"/>
            <w:gridSpan w:val="6"/>
            <w:shd w:val="clear" w:color="auto" w:fill="auto"/>
          </w:tcPr>
          <w:p w14:paraId="0733C27E" w14:textId="77777777" w:rsidR="00AA54B2" w:rsidRDefault="00323FB9">
            <w:pPr>
              <w:spacing w:after="0" w:line="240" w:lineRule="auto"/>
            </w:pPr>
            <w:r>
              <w:rPr>
                <w:rFonts w:ascii="Times New Roman" w:eastAsia="Times New Roman" w:hAnsi="Times New Roman" w:cs="Times New Roman"/>
              </w:rPr>
              <w:t>Department of Finance</w:t>
            </w:r>
          </w:p>
        </w:tc>
      </w:tr>
      <w:tr w:rsidR="00AA54B2" w14:paraId="610E40A4" w14:textId="77777777">
        <w:trPr>
          <w:trHeight w:val="397"/>
          <w:jc w:val="center"/>
        </w:trPr>
        <w:tc>
          <w:tcPr>
            <w:tcW w:w="1524" w:type="dxa"/>
            <w:vMerge/>
            <w:shd w:val="clear" w:color="auto" w:fill="D9D9D9"/>
            <w:vAlign w:val="center"/>
          </w:tcPr>
          <w:p w14:paraId="40B6257E" w14:textId="77777777" w:rsidR="00AA54B2" w:rsidRDefault="00AA54B2">
            <w:pPr>
              <w:pBdr>
                <w:top w:val="nil"/>
                <w:left w:val="nil"/>
                <w:bottom w:val="nil"/>
                <w:right w:val="nil"/>
                <w:between w:val="nil"/>
              </w:pBdr>
              <w:spacing w:after="0" w:line="276" w:lineRule="auto"/>
              <w:jc w:val="left"/>
              <w:rPr>
                <w:color w:val="000000"/>
              </w:rPr>
            </w:pPr>
          </w:p>
        </w:tc>
        <w:tc>
          <w:tcPr>
            <w:tcW w:w="2167" w:type="dxa"/>
            <w:shd w:val="clear" w:color="auto" w:fill="EDEDED"/>
            <w:vAlign w:val="center"/>
          </w:tcPr>
          <w:p w14:paraId="26C92A37" w14:textId="77777777" w:rsidR="00AA54B2" w:rsidRDefault="00323FB9">
            <w:pPr>
              <w:pBdr>
                <w:top w:val="nil"/>
                <w:left w:val="nil"/>
                <w:bottom w:val="nil"/>
                <w:right w:val="nil"/>
                <w:between w:val="nil"/>
              </w:pBdr>
              <w:spacing w:after="0" w:line="240" w:lineRule="auto"/>
              <w:jc w:val="center"/>
              <w:rPr>
                <w:b/>
                <w:bCs/>
                <w:color w:val="000000"/>
              </w:rPr>
            </w:pPr>
            <w:r>
              <w:rPr>
                <w:b/>
                <w:bCs/>
                <w:color w:val="000000"/>
              </w:rPr>
              <w:t>Homepage</w:t>
            </w:r>
          </w:p>
        </w:tc>
        <w:tc>
          <w:tcPr>
            <w:tcW w:w="6831" w:type="dxa"/>
            <w:gridSpan w:val="6"/>
            <w:shd w:val="clear" w:color="auto" w:fill="auto"/>
          </w:tcPr>
          <w:p w14:paraId="0E6558D9" w14:textId="77777777" w:rsidR="00AA54B2" w:rsidRDefault="001A4CF2">
            <w:pPr>
              <w:spacing w:after="0" w:line="240" w:lineRule="auto"/>
            </w:pPr>
            <w:hyperlink r:id="rId8">
              <w:r w:rsidR="00323FB9">
                <w:rPr>
                  <w:rFonts w:ascii="Times New Roman" w:eastAsia="Times New Roman" w:hAnsi="Times New Roman" w:cs="Times New Roman"/>
                  <w:color w:val="1155CC"/>
                  <w:u w:val="single"/>
                </w:rPr>
                <w:t>https://sites.google.com/view/hyoungkang</w:t>
              </w:r>
            </w:hyperlink>
            <w:r w:rsidR="00323FB9">
              <w:rPr>
                <w:rFonts w:ascii="Times New Roman" w:eastAsia="Times New Roman" w:hAnsi="Times New Roman" w:cs="Times New Roman"/>
              </w:rPr>
              <w:t xml:space="preserve"> </w:t>
            </w:r>
          </w:p>
        </w:tc>
      </w:tr>
      <w:tr w:rsidR="00AA54B2" w14:paraId="46180D03" w14:textId="77777777">
        <w:trPr>
          <w:trHeight w:val="397"/>
          <w:jc w:val="center"/>
        </w:trPr>
        <w:tc>
          <w:tcPr>
            <w:tcW w:w="1524" w:type="dxa"/>
            <w:vMerge w:val="restart"/>
            <w:shd w:val="clear" w:color="auto" w:fill="D9D9D9"/>
            <w:vAlign w:val="center"/>
          </w:tcPr>
          <w:p w14:paraId="7AD2BC2D" w14:textId="77777777" w:rsidR="00AA54B2" w:rsidRDefault="00323FB9">
            <w:pPr>
              <w:pBdr>
                <w:top w:val="nil"/>
                <w:left w:val="nil"/>
                <w:bottom w:val="nil"/>
                <w:right w:val="nil"/>
                <w:between w:val="nil"/>
              </w:pBdr>
              <w:spacing w:after="0" w:line="240" w:lineRule="auto"/>
              <w:rPr>
                <w:b/>
                <w:bCs/>
                <w:color w:val="000000"/>
              </w:rPr>
            </w:pPr>
            <w:r>
              <w:rPr>
                <w:b/>
                <w:bCs/>
                <w:color w:val="000000"/>
              </w:rPr>
              <w:t>Course Information</w:t>
            </w:r>
          </w:p>
        </w:tc>
        <w:tc>
          <w:tcPr>
            <w:tcW w:w="2167" w:type="dxa"/>
            <w:shd w:val="clear" w:color="auto" w:fill="EDEDED"/>
            <w:vAlign w:val="center"/>
          </w:tcPr>
          <w:p w14:paraId="0189FA12" w14:textId="77777777" w:rsidR="00AA54B2" w:rsidRDefault="00323FB9">
            <w:pPr>
              <w:pBdr>
                <w:top w:val="nil"/>
                <w:left w:val="nil"/>
                <w:bottom w:val="nil"/>
                <w:right w:val="nil"/>
                <w:between w:val="nil"/>
              </w:pBdr>
              <w:spacing w:after="0" w:line="240" w:lineRule="auto"/>
              <w:jc w:val="center"/>
              <w:rPr>
                <w:b/>
                <w:bCs/>
                <w:color w:val="000000"/>
              </w:rPr>
            </w:pPr>
            <w:r>
              <w:rPr>
                <w:b/>
                <w:bCs/>
                <w:color w:val="000000"/>
              </w:rPr>
              <w:t>Class No.</w:t>
            </w:r>
          </w:p>
        </w:tc>
        <w:tc>
          <w:tcPr>
            <w:tcW w:w="2102" w:type="dxa"/>
            <w:shd w:val="clear" w:color="auto" w:fill="auto"/>
          </w:tcPr>
          <w:p w14:paraId="254B316C" w14:textId="2B880019" w:rsidR="00AA54B2" w:rsidRDefault="001A4CF2">
            <w:pPr>
              <w:spacing w:after="0" w:line="240" w:lineRule="auto"/>
              <w:jc w:val="center"/>
            </w:pPr>
            <w:r>
              <w:t>18039</w:t>
            </w:r>
          </w:p>
        </w:tc>
        <w:tc>
          <w:tcPr>
            <w:tcW w:w="1567" w:type="dxa"/>
            <w:shd w:val="clear" w:color="auto" w:fill="EDEDED"/>
            <w:vAlign w:val="center"/>
          </w:tcPr>
          <w:p w14:paraId="50B3CE82" w14:textId="77777777" w:rsidR="00AA54B2" w:rsidRDefault="00323FB9">
            <w:pPr>
              <w:spacing w:after="0" w:line="240" w:lineRule="auto"/>
              <w:jc w:val="center"/>
              <w:rPr>
                <w:b/>
                <w:bCs/>
              </w:rPr>
            </w:pPr>
            <w:r>
              <w:rPr>
                <w:b/>
                <w:bCs/>
              </w:rPr>
              <w:t>Course Code</w:t>
            </w:r>
          </w:p>
        </w:tc>
        <w:tc>
          <w:tcPr>
            <w:tcW w:w="1683" w:type="dxa"/>
            <w:gridSpan w:val="2"/>
            <w:shd w:val="clear" w:color="auto" w:fill="auto"/>
          </w:tcPr>
          <w:p w14:paraId="1D062124" w14:textId="2106942A" w:rsidR="00AA54B2" w:rsidRDefault="00323FB9" w:rsidP="00323FB9">
            <w:pPr>
              <w:spacing w:after="0" w:line="240" w:lineRule="auto"/>
            </w:pPr>
            <w:r>
              <w:rPr>
                <w:rFonts w:hint="eastAsia"/>
              </w:rPr>
              <w:t>I</w:t>
            </w:r>
            <w:r>
              <w:t>SS1203</w:t>
            </w:r>
          </w:p>
        </w:tc>
        <w:tc>
          <w:tcPr>
            <w:tcW w:w="943" w:type="dxa"/>
            <w:shd w:val="clear" w:color="auto" w:fill="EDEDED"/>
            <w:vAlign w:val="center"/>
          </w:tcPr>
          <w:p w14:paraId="0F321E06" w14:textId="77777777" w:rsidR="00AA54B2" w:rsidRDefault="00323FB9">
            <w:pPr>
              <w:spacing w:after="0" w:line="240" w:lineRule="auto"/>
              <w:jc w:val="center"/>
              <w:rPr>
                <w:b/>
                <w:bCs/>
              </w:rPr>
            </w:pPr>
            <w:r>
              <w:rPr>
                <w:b/>
                <w:bCs/>
              </w:rPr>
              <w:t>Credits</w:t>
            </w:r>
          </w:p>
        </w:tc>
        <w:tc>
          <w:tcPr>
            <w:tcW w:w="536" w:type="dxa"/>
            <w:shd w:val="clear" w:color="auto" w:fill="auto"/>
            <w:vAlign w:val="center"/>
          </w:tcPr>
          <w:p w14:paraId="10B68BA6" w14:textId="77777777" w:rsidR="00AA54B2" w:rsidRDefault="00323FB9">
            <w:pPr>
              <w:spacing w:after="0" w:line="240" w:lineRule="auto"/>
              <w:jc w:val="center"/>
            </w:pPr>
            <w:r>
              <w:t>3</w:t>
            </w:r>
          </w:p>
        </w:tc>
      </w:tr>
      <w:tr w:rsidR="00AA54B2" w14:paraId="08295492" w14:textId="77777777">
        <w:trPr>
          <w:trHeight w:val="397"/>
          <w:jc w:val="center"/>
        </w:trPr>
        <w:tc>
          <w:tcPr>
            <w:tcW w:w="1524" w:type="dxa"/>
            <w:vMerge/>
            <w:shd w:val="clear" w:color="auto" w:fill="D9D9D9"/>
            <w:vAlign w:val="center"/>
          </w:tcPr>
          <w:p w14:paraId="23B7FE4A" w14:textId="77777777" w:rsidR="00AA54B2" w:rsidRDefault="00AA54B2">
            <w:pPr>
              <w:pBdr>
                <w:top w:val="nil"/>
                <w:left w:val="nil"/>
                <w:bottom w:val="nil"/>
                <w:right w:val="nil"/>
                <w:between w:val="nil"/>
              </w:pBdr>
              <w:spacing w:after="0" w:line="276" w:lineRule="auto"/>
              <w:jc w:val="left"/>
              <w:rPr>
                <w:color w:val="000000"/>
              </w:rPr>
            </w:pPr>
          </w:p>
        </w:tc>
        <w:tc>
          <w:tcPr>
            <w:tcW w:w="2167" w:type="dxa"/>
            <w:shd w:val="clear" w:color="auto" w:fill="EDEDED"/>
            <w:vAlign w:val="center"/>
          </w:tcPr>
          <w:p w14:paraId="64A31A52" w14:textId="77777777" w:rsidR="00AA54B2" w:rsidRDefault="00323FB9">
            <w:pPr>
              <w:pBdr>
                <w:top w:val="nil"/>
                <w:left w:val="nil"/>
                <w:bottom w:val="nil"/>
                <w:right w:val="nil"/>
                <w:between w:val="nil"/>
              </w:pBdr>
              <w:spacing w:after="0" w:line="240" w:lineRule="auto"/>
              <w:jc w:val="center"/>
              <w:rPr>
                <w:b/>
                <w:bCs/>
                <w:color w:val="000000"/>
              </w:rPr>
            </w:pPr>
            <w:r>
              <w:rPr>
                <w:b/>
                <w:bCs/>
                <w:color w:val="000000"/>
              </w:rPr>
              <w:t>Course Name</w:t>
            </w:r>
          </w:p>
        </w:tc>
        <w:tc>
          <w:tcPr>
            <w:tcW w:w="6831" w:type="dxa"/>
            <w:gridSpan w:val="6"/>
            <w:shd w:val="clear" w:color="auto" w:fill="auto"/>
          </w:tcPr>
          <w:p w14:paraId="6035B9E4" w14:textId="77777777" w:rsidR="00AA54B2" w:rsidRDefault="00323FB9">
            <w:pPr>
              <w:spacing w:after="0" w:line="240" w:lineRule="auto"/>
              <w:jc w:val="center"/>
            </w:pPr>
            <w:r>
              <w:rPr>
                <w:rFonts w:ascii="Times New Roman" w:eastAsia="Times New Roman" w:hAnsi="Times New Roman" w:cs="Times New Roman"/>
              </w:rPr>
              <w:t>Culture, Content, Creative Industry and Financial Strategies</w:t>
            </w:r>
          </w:p>
        </w:tc>
      </w:tr>
      <w:tr w:rsidR="00AA54B2" w14:paraId="3E9E35C6" w14:textId="77777777">
        <w:trPr>
          <w:trHeight w:val="397"/>
          <w:jc w:val="center"/>
        </w:trPr>
        <w:tc>
          <w:tcPr>
            <w:tcW w:w="1524" w:type="dxa"/>
            <w:vMerge/>
            <w:shd w:val="clear" w:color="auto" w:fill="D9D9D9"/>
            <w:vAlign w:val="center"/>
          </w:tcPr>
          <w:p w14:paraId="349E185E" w14:textId="77777777" w:rsidR="00AA54B2" w:rsidRDefault="00AA54B2">
            <w:pPr>
              <w:pBdr>
                <w:top w:val="nil"/>
                <w:left w:val="nil"/>
                <w:bottom w:val="nil"/>
                <w:right w:val="nil"/>
                <w:between w:val="nil"/>
              </w:pBdr>
              <w:spacing w:after="0" w:line="276" w:lineRule="auto"/>
              <w:jc w:val="left"/>
              <w:rPr>
                <w:color w:val="000000"/>
              </w:rPr>
            </w:pPr>
          </w:p>
        </w:tc>
        <w:tc>
          <w:tcPr>
            <w:tcW w:w="2167" w:type="dxa"/>
            <w:shd w:val="clear" w:color="auto" w:fill="EDEDED"/>
            <w:vAlign w:val="center"/>
          </w:tcPr>
          <w:p w14:paraId="301991E3" w14:textId="77777777" w:rsidR="00AA54B2" w:rsidRDefault="00323FB9">
            <w:pPr>
              <w:pBdr>
                <w:top w:val="nil"/>
                <w:left w:val="nil"/>
                <w:bottom w:val="nil"/>
                <w:right w:val="nil"/>
                <w:between w:val="nil"/>
              </w:pBdr>
              <w:spacing w:after="0" w:line="240" w:lineRule="auto"/>
              <w:jc w:val="center"/>
              <w:rPr>
                <w:b/>
                <w:bCs/>
                <w:color w:val="000000"/>
              </w:rPr>
            </w:pPr>
            <w:r>
              <w:rPr>
                <w:b/>
                <w:bCs/>
                <w:color w:val="000000"/>
              </w:rPr>
              <w:t>Lecture Schedule</w:t>
            </w:r>
          </w:p>
        </w:tc>
        <w:tc>
          <w:tcPr>
            <w:tcW w:w="6831" w:type="dxa"/>
            <w:gridSpan w:val="6"/>
            <w:shd w:val="clear" w:color="auto" w:fill="auto"/>
          </w:tcPr>
          <w:p w14:paraId="5FFE6CBB" w14:textId="77777777" w:rsidR="00AA54B2" w:rsidRDefault="00323FB9">
            <w:pPr>
              <w:pBdr>
                <w:top w:val="nil"/>
                <w:left w:val="nil"/>
                <w:bottom w:val="nil"/>
                <w:right w:val="nil"/>
                <w:between w:val="nil"/>
              </w:pBdr>
              <w:spacing w:after="0" w:line="240" w:lineRule="auto"/>
              <w:jc w:val="center"/>
              <w:rPr>
                <w:color w:val="000000"/>
              </w:rPr>
            </w:pPr>
            <w:r>
              <w:rPr>
                <w:color w:val="000000"/>
              </w:rPr>
              <w:t>Monday-Saturday / 13:00~16:00</w:t>
            </w:r>
          </w:p>
        </w:tc>
      </w:tr>
      <w:tr w:rsidR="00AA54B2" w14:paraId="44599263" w14:textId="77777777">
        <w:trPr>
          <w:trHeight w:val="964"/>
          <w:jc w:val="center"/>
        </w:trPr>
        <w:tc>
          <w:tcPr>
            <w:tcW w:w="1524" w:type="dxa"/>
            <w:vMerge/>
            <w:shd w:val="clear" w:color="auto" w:fill="D9D9D9"/>
            <w:vAlign w:val="center"/>
          </w:tcPr>
          <w:p w14:paraId="5681BFB9" w14:textId="77777777" w:rsidR="00AA54B2" w:rsidRDefault="00AA54B2">
            <w:pPr>
              <w:pBdr>
                <w:top w:val="nil"/>
                <w:left w:val="nil"/>
                <w:bottom w:val="nil"/>
                <w:right w:val="nil"/>
                <w:between w:val="nil"/>
              </w:pBdr>
              <w:spacing w:after="0" w:line="276" w:lineRule="auto"/>
              <w:jc w:val="left"/>
              <w:rPr>
                <w:color w:val="000000"/>
              </w:rPr>
            </w:pPr>
          </w:p>
        </w:tc>
        <w:tc>
          <w:tcPr>
            <w:tcW w:w="2167" w:type="dxa"/>
            <w:shd w:val="clear" w:color="auto" w:fill="EDEDED"/>
            <w:vAlign w:val="center"/>
          </w:tcPr>
          <w:p w14:paraId="4AA51165" w14:textId="77777777" w:rsidR="00AA54B2" w:rsidRDefault="00323FB9">
            <w:pPr>
              <w:spacing w:after="0" w:line="240" w:lineRule="auto"/>
              <w:jc w:val="center"/>
              <w:rPr>
                <w:b/>
                <w:bCs/>
              </w:rPr>
            </w:pPr>
            <w:r>
              <w:rPr>
                <w:b/>
                <w:bCs/>
              </w:rPr>
              <w:t>Course Description</w:t>
            </w:r>
          </w:p>
        </w:tc>
        <w:tc>
          <w:tcPr>
            <w:tcW w:w="6831" w:type="dxa"/>
            <w:gridSpan w:val="6"/>
            <w:shd w:val="clear" w:color="auto" w:fill="auto"/>
          </w:tcPr>
          <w:p w14:paraId="39992CD4" w14:textId="77777777" w:rsidR="00AA54B2" w:rsidRDefault="00323FB9">
            <w:pPr>
              <w:spacing w:after="0" w:line="240" w:lineRule="auto"/>
              <w:jc w:val="left"/>
              <w:rPr>
                <w:rFonts w:ascii="Times New Roman" w:eastAsia="Times New Roman" w:hAnsi="Times New Roman" w:cs="Times New Roman"/>
              </w:rPr>
            </w:pPr>
            <w:r>
              <w:rPr>
                <w:rFonts w:ascii="Times New Roman" w:eastAsia="Times New Roman" w:hAnsi="Times New Roman" w:cs="Times New Roman"/>
              </w:rPr>
              <w:t>This course offers an interdisciplinary exploration of the dynamic intersection between cultural production, creative industries, and financial strategies. Students will engage with the principles and practices that drive the creation, distribution, and monetization of cultural content within the global economy. The course emphasizes the role of innovation and entrepreneurship in the creative industries, analyzing how cultural content is shaped by and, in turn, shapes economic frameworks. By integrating theoretical insights with practical financial strategies, students will develop the skills to navigate and influence the evolving landscape of creative industries.</w:t>
            </w:r>
          </w:p>
        </w:tc>
      </w:tr>
      <w:tr w:rsidR="00AA54B2" w14:paraId="5EAAC7CB" w14:textId="77777777">
        <w:trPr>
          <w:trHeight w:val="964"/>
          <w:jc w:val="center"/>
        </w:trPr>
        <w:tc>
          <w:tcPr>
            <w:tcW w:w="1524" w:type="dxa"/>
            <w:vMerge/>
            <w:shd w:val="clear" w:color="auto" w:fill="D9D9D9"/>
            <w:vAlign w:val="center"/>
          </w:tcPr>
          <w:p w14:paraId="3B51C3D8" w14:textId="77777777" w:rsidR="00AA54B2" w:rsidRDefault="00AA54B2">
            <w:pPr>
              <w:pBdr>
                <w:top w:val="nil"/>
                <w:left w:val="nil"/>
                <w:bottom w:val="nil"/>
                <w:right w:val="nil"/>
                <w:between w:val="nil"/>
              </w:pBdr>
              <w:spacing w:after="0" w:line="276" w:lineRule="auto"/>
              <w:jc w:val="left"/>
              <w:rPr>
                <w:color w:val="000000"/>
              </w:rPr>
            </w:pPr>
          </w:p>
        </w:tc>
        <w:tc>
          <w:tcPr>
            <w:tcW w:w="2167" w:type="dxa"/>
            <w:shd w:val="clear" w:color="auto" w:fill="EDEDED"/>
            <w:vAlign w:val="center"/>
          </w:tcPr>
          <w:p w14:paraId="4AD3142E" w14:textId="77777777" w:rsidR="00AA54B2" w:rsidRDefault="00323FB9">
            <w:pPr>
              <w:pBdr>
                <w:top w:val="nil"/>
                <w:left w:val="nil"/>
                <w:bottom w:val="nil"/>
                <w:right w:val="nil"/>
                <w:between w:val="nil"/>
              </w:pBdr>
              <w:spacing w:after="0" w:line="240" w:lineRule="auto"/>
              <w:jc w:val="center"/>
              <w:rPr>
                <w:b/>
                <w:bCs/>
                <w:color w:val="000000"/>
              </w:rPr>
            </w:pPr>
            <w:r>
              <w:rPr>
                <w:b/>
                <w:bCs/>
                <w:color w:val="000000"/>
              </w:rPr>
              <w:t>Course Objective</w:t>
            </w:r>
          </w:p>
        </w:tc>
        <w:tc>
          <w:tcPr>
            <w:tcW w:w="6831" w:type="dxa"/>
            <w:gridSpan w:val="6"/>
            <w:shd w:val="clear" w:color="auto" w:fill="auto"/>
          </w:tcPr>
          <w:p w14:paraId="1EB9F2F8" w14:textId="77777777" w:rsidR="00AA54B2" w:rsidRDefault="00323FB9">
            <w:pPr>
              <w:spacing w:after="0" w:line="240" w:lineRule="auto"/>
              <w:jc w:val="left"/>
            </w:pPr>
            <w:r>
              <w:rPr>
                <w:rFonts w:ascii="Times New Roman" w:eastAsia="Times New Roman" w:hAnsi="Times New Roman" w:cs="Times New Roman"/>
              </w:rPr>
              <w:t>The objective of the course "Culture, Content, Creative Industry and Financial Strategies" is to equip students with a comprehensive understanding of the interrelations between cultural production, creative industries, and financial frameworks. Students will learn to critically analyze and apply financial strategies within the context of creative enterprises, fostering their ability to innovate, manage, and lead in the global creative economy. By the end of the course, students will be able to develop and implement effective financial strategies that support sustainable growth and success in various sectors of the creative industries, while also understanding the cultural and economic impacts of their decisions.</w:t>
            </w:r>
          </w:p>
        </w:tc>
      </w:tr>
      <w:tr w:rsidR="00AA54B2" w14:paraId="1F2F8101" w14:textId="77777777">
        <w:trPr>
          <w:trHeight w:val="964"/>
          <w:jc w:val="center"/>
        </w:trPr>
        <w:tc>
          <w:tcPr>
            <w:tcW w:w="1524" w:type="dxa"/>
            <w:vMerge/>
            <w:shd w:val="clear" w:color="auto" w:fill="D9D9D9"/>
            <w:vAlign w:val="center"/>
          </w:tcPr>
          <w:p w14:paraId="58BF9D52" w14:textId="77777777" w:rsidR="00AA54B2" w:rsidRDefault="00AA54B2">
            <w:pPr>
              <w:pBdr>
                <w:top w:val="nil"/>
                <w:left w:val="nil"/>
                <w:bottom w:val="nil"/>
                <w:right w:val="nil"/>
                <w:between w:val="nil"/>
              </w:pBdr>
              <w:spacing w:after="0" w:line="276" w:lineRule="auto"/>
              <w:jc w:val="left"/>
              <w:rPr>
                <w:color w:val="000000"/>
              </w:rPr>
            </w:pPr>
          </w:p>
        </w:tc>
        <w:tc>
          <w:tcPr>
            <w:tcW w:w="2167" w:type="dxa"/>
            <w:shd w:val="clear" w:color="auto" w:fill="EDEDED"/>
            <w:vAlign w:val="center"/>
          </w:tcPr>
          <w:p w14:paraId="4A03462E" w14:textId="77777777" w:rsidR="00AA54B2" w:rsidRDefault="00323FB9">
            <w:pPr>
              <w:pBdr>
                <w:top w:val="nil"/>
                <w:left w:val="nil"/>
                <w:bottom w:val="nil"/>
                <w:right w:val="nil"/>
                <w:between w:val="nil"/>
              </w:pBdr>
              <w:spacing w:after="0" w:line="240" w:lineRule="auto"/>
              <w:jc w:val="center"/>
              <w:rPr>
                <w:b/>
                <w:bCs/>
                <w:color w:val="000000"/>
              </w:rPr>
            </w:pPr>
            <w:r>
              <w:rPr>
                <w:b/>
                <w:bCs/>
                <w:color w:val="000000"/>
              </w:rPr>
              <w:t>Prerequisite</w:t>
            </w:r>
          </w:p>
        </w:tc>
        <w:tc>
          <w:tcPr>
            <w:tcW w:w="6831" w:type="dxa"/>
            <w:gridSpan w:val="6"/>
            <w:shd w:val="clear" w:color="auto" w:fill="auto"/>
            <w:vAlign w:val="center"/>
          </w:tcPr>
          <w:p w14:paraId="7AA8220F" w14:textId="77777777" w:rsidR="00AA54B2" w:rsidRDefault="00323FB9">
            <w:pPr>
              <w:numPr>
                <w:ilvl w:val="0"/>
                <w:numId w:val="1"/>
              </w:numPr>
              <w:spacing w:after="0" w:line="240" w:lineRule="auto"/>
            </w:pPr>
            <w:r>
              <w:t>NA</w:t>
            </w:r>
          </w:p>
        </w:tc>
      </w:tr>
      <w:tr w:rsidR="00AA54B2" w14:paraId="6F4C88C8" w14:textId="77777777">
        <w:trPr>
          <w:trHeight w:val="964"/>
          <w:jc w:val="center"/>
        </w:trPr>
        <w:tc>
          <w:tcPr>
            <w:tcW w:w="1524" w:type="dxa"/>
            <w:vMerge/>
            <w:shd w:val="clear" w:color="auto" w:fill="D9D9D9"/>
            <w:vAlign w:val="center"/>
          </w:tcPr>
          <w:p w14:paraId="7C74B809" w14:textId="77777777" w:rsidR="00AA54B2" w:rsidRDefault="00AA54B2">
            <w:pPr>
              <w:pBdr>
                <w:top w:val="nil"/>
                <w:left w:val="nil"/>
                <w:bottom w:val="nil"/>
                <w:right w:val="nil"/>
                <w:between w:val="nil"/>
              </w:pBdr>
              <w:spacing w:after="0" w:line="276" w:lineRule="auto"/>
              <w:jc w:val="left"/>
              <w:rPr>
                <w:color w:val="000000"/>
              </w:rPr>
            </w:pPr>
          </w:p>
        </w:tc>
        <w:tc>
          <w:tcPr>
            <w:tcW w:w="2167" w:type="dxa"/>
            <w:shd w:val="clear" w:color="auto" w:fill="EDEDED"/>
            <w:vAlign w:val="center"/>
          </w:tcPr>
          <w:p w14:paraId="24C525B6" w14:textId="77777777" w:rsidR="00AA54B2" w:rsidRDefault="00323FB9">
            <w:pPr>
              <w:pBdr>
                <w:top w:val="nil"/>
                <w:left w:val="nil"/>
                <w:bottom w:val="nil"/>
                <w:right w:val="nil"/>
                <w:between w:val="nil"/>
              </w:pBdr>
              <w:spacing w:after="0" w:line="240" w:lineRule="auto"/>
              <w:jc w:val="center"/>
              <w:rPr>
                <w:b/>
                <w:bCs/>
                <w:color w:val="000000"/>
              </w:rPr>
            </w:pPr>
            <w:r>
              <w:rPr>
                <w:b/>
                <w:bCs/>
                <w:color w:val="000000"/>
              </w:rPr>
              <w:t>Materials/Textbooks</w:t>
            </w:r>
          </w:p>
        </w:tc>
        <w:tc>
          <w:tcPr>
            <w:tcW w:w="6831" w:type="dxa"/>
            <w:gridSpan w:val="6"/>
            <w:shd w:val="clear" w:color="auto" w:fill="auto"/>
            <w:vAlign w:val="center"/>
          </w:tcPr>
          <w:p w14:paraId="3A447515" w14:textId="77777777" w:rsidR="00AA54B2" w:rsidRDefault="00323FB9">
            <w:pPr>
              <w:spacing w:after="0" w:line="240" w:lineRule="auto"/>
            </w:pPr>
            <w:r>
              <w:t>Harvard Business Cases</w:t>
            </w:r>
          </w:p>
        </w:tc>
      </w:tr>
      <w:tr w:rsidR="00AA54B2" w14:paraId="75A53C7A" w14:textId="77777777">
        <w:trPr>
          <w:trHeight w:val="397"/>
          <w:jc w:val="center"/>
        </w:trPr>
        <w:tc>
          <w:tcPr>
            <w:tcW w:w="1524" w:type="dxa"/>
            <w:vMerge w:val="restart"/>
            <w:shd w:val="clear" w:color="auto" w:fill="D9D9D9"/>
            <w:vAlign w:val="center"/>
          </w:tcPr>
          <w:p w14:paraId="66285EE9" w14:textId="77777777" w:rsidR="00AA54B2" w:rsidRDefault="00323FB9">
            <w:pPr>
              <w:pBdr>
                <w:top w:val="nil"/>
                <w:left w:val="nil"/>
                <w:bottom w:val="nil"/>
                <w:right w:val="nil"/>
                <w:between w:val="nil"/>
              </w:pBdr>
              <w:spacing w:after="0" w:line="240" w:lineRule="auto"/>
              <w:rPr>
                <w:b/>
                <w:bCs/>
                <w:color w:val="000000"/>
              </w:rPr>
            </w:pPr>
            <w:r>
              <w:rPr>
                <w:b/>
                <w:bCs/>
                <w:color w:val="000000"/>
              </w:rPr>
              <w:t>Evaluation</w:t>
            </w:r>
          </w:p>
        </w:tc>
        <w:tc>
          <w:tcPr>
            <w:tcW w:w="2167" w:type="dxa"/>
            <w:shd w:val="clear" w:color="auto" w:fill="EDEDED"/>
            <w:vAlign w:val="center"/>
          </w:tcPr>
          <w:p w14:paraId="35CDED08" w14:textId="77777777" w:rsidR="00AA54B2" w:rsidRDefault="00323FB9">
            <w:pPr>
              <w:pBdr>
                <w:top w:val="nil"/>
                <w:left w:val="nil"/>
                <w:bottom w:val="nil"/>
                <w:right w:val="nil"/>
                <w:between w:val="nil"/>
              </w:pBdr>
              <w:spacing w:after="0" w:line="240" w:lineRule="auto"/>
              <w:jc w:val="center"/>
              <w:rPr>
                <w:b/>
                <w:bCs/>
                <w:color w:val="000000"/>
              </w:rPr>
            </w:pPr>
            <w:r>
              <w:rPr>
                <w:b/>
                <w:bCs/>
                <w:color w:val="000000"/>
              </w:rPr>
              <w:t>Attendance</w:t>
            </w:r>
          </w:p>
        </w:tc>
        <w:tc>
          <w:tcPr>
            <w:tcW w:w="2102" w:type="dxa"/>
            <w:shd w:val="clear" w:color="auto" w:fill="auto"/>
          </w:tcPr>
          <w:p w14:paraId="380B2453" w14:textId="77777777" w:rsidR="00AA54B2" w:rsidRDefault="00323FB9">
            <w:pPr>
              <w:spacing w:after="0" w:line="240" w:lineRule="auto"/>
              <w:jc w:val="right"/>
            </w:pPr>
            <w:r>
              <w:t>20%</w:t>
            </w:r>
          </w:p>
        </w:tc>
        <w:tc>
          <w:tcPr>
            <w:tcW w:w="2370" w:type="dxa"/>
            <w:gridSpan w:val="2"/>
            <w:shd w:val="clear" w:color="auto" w:fill="EDEDED"/>
            <w:vAlign w:val="center"/>
          </w:tcPr>
          <w:p w14:paraId="1E7D4485" w14:textId="77777777" w:rsidR="00AA54B2" w:rsidRDefault="00323FB9">
            <w:pPr>
              <w:spacing w:after="0" w:line="240" w:lineRule="auto"/>
              <w:jc w:val="center"/>
              <w:rPr>
                <w:b/>
                <w:bCs/>
              </w:rPr>
            </w:pPr>
            <w:r>
              <w:rPr>
                <w:b/>
                <w:bCs/>
              </w:rPr>
              <w:t>Quiz</w:t>
            </w:r>
          </w:p>
        </w:tc>
        <w:tc>
          <w:tcPr>
            <w:tcW w:w="2359" w:type="dxa"/>
            <w:gridSpan w:val="3"/>
            <w:shd w:val="clear" w:color="auto" w:fill="auto"/>
          </w:tcPr>
          <w:p w14:paraId="46BA56EA" w14:textId="77777777" w:rsidR="00AA54B2" w:rsidRDefault="00323FB9">
            <w:pPr>
              <w:spacing w:after="0" w:line="240" w:lineRule="auto"/>
              <w:jc w:val="right"/>
            </w:pPr>
            <w:r>
              <w:t>0%</w:t>
            </w:r>
          </w:p>
        </w:tc>
      </w:tr>
      <w:tr w:rsidR="00AA54B2" w14:paraId="761DFDE7" w14:textId="77777777">
        <w:trPr>
          <w:trHeight w:val="397"/>
          <w:jc w:val="center"/>
        </w:trPr>
        <w:tc>
          <w:tcPr>
            <w:tcW w:w="1524" w:type="dxa"/>
            <w:vMerge/>
            <w:shd w:val="clear" w:color="auto" w:fill="D9D9D9"/>
            <w:vAlign w:val="center"/>
          </w:tcPr>
          <w:p w14:paraId="5F0DFC9E" w14:textId="77777777" w:rsidR="00AA54B2" w:rsidRDefault="00AA54B2">
            <w:pPr>
              <w:pBdr>
                <w:top w:val="nil"/>
                <w:left w:val="nil"/>
                <w:bottom w:val="nil"/>
                <w:right w:val="nil"/>
                <w:between w:val="nil"/>
              </w:pBdr>
              <w:spacing w:after="0" w:line="276" w:lineRule="auto"/>
              <w:jc w:val="left"/>
              <w:rPr>
                <w:color w:val="000000"/>
              </w:rPr>
            </w:pPr>
          </w:p>
        </w:tc>
        <w:tc>
          <w:tcPr>
            <w:tcW w:w="2167" w:type="dxa"/>
            <w:shd w:val="clear" w:color="auto" w:fill="EDEDED"/>
            <w:vAlign w:val="center"/>
          </w:tcPr>
          <w:p w14:paraId="36A1339B" w14:textId="77777777" w:rsidR="00AA54B2" w:rsidRDefault="00323FB9">
            <w:pPr>
              <w:pBdr>
                <w:top w:val="nil"/>
                <w:left w:val="nil"/>
                <w:bottom w:val="nil"/>
                <w:right w:val="nil"/>
                <w:between w:val="nil"/>
              </w:pBdr>
              <w:spacing w:after="0" w:line="240" w:lineRule="auto"/>
              <w:jc w:val="center"/>
              <w:rPr>
                <w:b/>
                <w:bCs/>
                <w:color w:val="000000"/>
              </w:rPr>
            </w:pPr>
            <w:r>
              <w:rPr>
                <w:b/>
                <w:bCs/>
                <w:color w:val="000000"/>
              </w:rPr>
              <w:t>Assignment</w:t>
            </w:r>
          </w:p>
        </w:tc>
        <w:tc>
          <w:tcPr>
            <w:tcW w:w="2102" w:type="dxa"/>
            <w:shd w:val="clear" w:color="auto" w:fill="auto"/>
          </w:tcPr>
          <w:p w14:paraId="6145A4F6" w14:textId="77777777" w:rsidR="00AA54B2" w:rsidRDefault="00323FB9">
            <w:pPr>
              <w:spacing w:after="0" w:line="240" w:lineRule="auto"/>
              <w:jc w:val="right"/>
            </w:pPr>
            <w:r>
              <w:t>20%</w:t>
            </w:r>
          </w:p>
        </w:tc>
        <w:tc>
          <w:tcPr>
            <w:tcW w:w="2370" w:type="dxa"/>
            <w:gridSpan w:val="2"/>
            <w:shd w:val="clear" w:color="auto" w:fill="EDEDED"/>
            <w:vAlign w:val="center"/>
          </w:tcPr>
          <w:p w14:paraId="47D66189" w14:textId="77777777" w:rsidR="00AA54B2" w:rsidRDefault="00323FB9">
            <w:pPr>
              <w:spacing w:after="0" w:line="240" w:lineRule="auto"/>
              <w:jc w:val="center"/>
              <w:rPr>
                <w:b/>
                <w:bCs/>
              </w:rPr>
            </w:pPr>
            <w:r>
              <w:rPr>
                <w:b/>
                <w:bCs/>
              </w:rPr>
              <w:t>Mid-term Exam</w:t>
            </w:r>
          </w:p>
        </w:tc>
        <w:tc>
          <w:tcPr>
            <w:tcW w:w="2359" w:type="dxa"/>
            <w:gridSpan w:val="3"/>
            <w:shd w:val="clear" w:color="auto" w:fill="auto"/>
          </w:tcPr>
          <w:p w14:paraId="06689B64" w14:textId="77777777" w:rsidR="00AA54B2" w:rsidRDefault="00323FB9">
            <w:pPr>
              <w:spacing w:after="0" w:line="240" w:lineRule="auto"/>
              <w:jc w:val="right"/>
            </w:pPr>
            <w:r>
              <w:t>20%</w:t>
            </w:r>
          </w:p>
        </w:tc>
      </w:tr>
      <w:tr w:rsidR="00AA54B2" w14:paraId="68634773" w14:textId="77777777">
        <w:trPr>
          <w:trHeight w:val="397"/>
          <w:jc w:val="center"/>
        </w:trPr>
        <w:tc>
          <w:tcPr>
            <w:tcW w:w="1524" w:type="dxa"/>
            <w:vMerge/>
            <w:shd w:val="clear" w:color="auto" w:fill="D9D9D9"/>
            <w:vAlign w:val="center"/>
          </w:tcPr>
          <w:p w14:paraId="77A2780E" w14:textId="77777777" w:rsidR="00AA54B2" w:rsidRDefault="00AA54B2">
            <w:pPr>
              <w:pBdr>
                <w:top w:val="nil"/>
                <w:left w:val="nil"/>
                <w:bottom w:val="nil"/>
                <w:right w:val="nil"/>
                <w:between w:val="nil"/>
              </w:pBdr>
              <w:spacing w:after="0" w:line="276" w:lineRule="auto"/>
              <w:jc w:val="left"/>
              <w:rPr>
                <w:color w:val="000000"/>
              </w:rPr>
            </w:pPr>
          </w:p>
        </w:tc>
        <w:tc>
          <w:tcPr>
            <w:tcW w:w="2167" w:type="dxa"/>
            <w:shd w:val="clear" w:color="auto" w:fill="EDEDED"/>
            <w:vAlign w:val="center"/>
          </w:tcPr>
          <w:p w14:paraId="2EE4BC14" w14:textId="77777777" w:rsidR="00AA54B2" w:rsidRDefault="00323FB9">
            <w:pPr>
              <w:pBdr>
                <w:top w:val="nil"/>
                <w:left w:val="nil"/>
                <w:bottom w:val="nil"/>
                <w:right w:val="nil"/>
                <w:between w:val="nil"/>
              </w:pBdr>
              <w:spacing w:after="0" w:line="240" w:lineRule="auto"/>
              <w:jc w:val="center"/>
              <w:rPr>
                <w:b/>
                <w:bCs/>
                <w:color w:val="000000"/>
              </w:rPr>
            </w:pPr>
            <w:r>
              <w:rPr>
                <w:b/>
                <w:bCs/>
                <w:color w:val="000000"/>
              </w:rPr>
              <w:t>Presentation</w:t>
            </w:r>
          </w:p>
        </w:tc>
        <w:tc>
          <w:tcPr>
            <w:tcW w:w="2102" w:type="dxa"/>
            <w:shd w:val="clear" w:color="auto" w:fill="auto"/>
          </w:tcPr>
          <w:p w14:paraId="18102302" w14:textId="77777777" w:rsidR="00AA54B2" w:rsidRDefault="00323FB9">
            <w:pPr>
              <w:spacing w:after="0" w:line="240" w:lineRule="auto"/>
              <w:jc w:val="right"/>
            </w:pPr>
            <w:r>
              <w:t>10%</w:t>
            </w:r>
          </w:p>
        </w:tc>
        <w:tc>
          <w:tcPr>
            <w:tcW w:w="2370" w:type="dxa"/>
            <w:gridSpan w:val="2"/>
            <w:shd w:val="clear" w:color="auto" w:fill="EDEDED"/>
            <w:vAlign w:val="center"/>
          </w:tcPr>
          <w:p w14:paraId="3E1BD21A" w14:textId="77777777" w:rsidR="00AA54B2" w:rsidRDefault="00323FB9">
            <w:pPr>
              <w:spacing w:after="0" w:line="240" w:lineRule="auto"/>
              <w:jc w:val="center"/>
              <w:rPr>
                <w:b/>
                <w:bCs/>
              </w:rPr>
            </w:pPr>
            <w:r>
              <w:rPr>
                <w:b/>
                <w:bCs/>
              </w:rPr>
              <w:t>Final Exam</w:t>
            </w:r>
          </w:p>
        </w:tc>
        <w:tc>
          <w:tcPr>
            <w:tcW w:w="2359" w:type="dxa"/>
            <w:gridSpan w:val="3"/>
            <w:shd w:val="clear" w:color="auto" w:fill="auto"/>
          </w:tcPr>
          <w:p w14:paraId="4C580922" w14:textId="77777777" w:rsidR="00AA54B2" w:rsidRDefault="00323FB9">
            <w:pPr>
              <w:spacing w:after="0" w:line="240" w:lineRule="auto"/>
              <w:jc w:val="right"/>
            </w:pPr>
            <w:r>
              <w:t>20%</w:t>
            </w:r>
          </w:p>
        </w:tc>
      </w:tr>
      <w:tr w:rsidR="00AA54B2" w14:paraId="07671DA0" w14:textId="77777777">
        <w:trPr>
          <w:trHeight w:val="397"/>
          <w:jc w:val="center"/>
        </w:trPr>
        <w:tc>
          <w:tcPr>
            <w:tcW w:w="1524" w:type="dxa"/>
            <w:vMerge/>
            <w:shd w:val="clear" w:color="auto" w:fill="D9D9D9"/>
            <w:vAlign w:val="center"/>
          </w:tcPr>
          <w:p w14:paraId="43B8E869" w14:textId="77777777" w:rsidR="00AA54B2" w:rsidRDefault="00AA54B2">
            <w:pPr>
              <w:pBdr>
                <w:top w:val="nil"/>
                <w:left w:val="nil"/>
                <w:bottom w:val="nil"/>
                <w:right w:val="nil"/>
                <w:between w:val="nil"/>
              </w:pBdr>
              <w:spacing w:after="0" w:line="276" w:lineRule="auto"/>
              <w:jc w:val="left"/>
              <w:rPr>
                <w:color w:val="000000"/>
              </w:rPr>
            </w:pPr>
          </w:p>
        </w:tc>
        <w:tc>
          <w:tcPr>
            <w:tcW w:w="2167" w:type="dxa"/>
            <w:shd w:val="clear" w:color="auto" w:fill="EDEDED"/>
            <w:vAlign w:val="center"/>
          </w:tcPr>
          <w:p w14:paraId="27B8D19F" w14:textId="77777777" w:rsidR="00AA54B2" w:rsidRDefault="00323FB9">
            <w:pPr>
              <w:pBdr>
                <w:top w:val="nil"/>
                <w:left w:val="nil"/>
                <w:bottom w:val="nil"/>
                <w:right w:val="nil"/>
                <w:between w:val="nil"/>
              </w:pBdr>
              <w:spacing w:after="0" w:line="240" w:lineRule="auto"/>
              <w:jc w:val="center"/>
              <w:rPr>
                <w:b/>
                <w:bCs/>
                <w:color w:val="000000"/>
              </w:rPr>
            </w:pPr>
            <w:r>
              <w:rPr>
                <w:b/>
                <w:bCs/>
                <w:color w:val="000000"/>
              </w:rPr>
              <w:t>Group Project</w:t>
            </w:r>
          </w:p>
        </w:tc>
        <w:tc>
          <w:tcPr>
            <w:tcW w:w="2102" w:type="dxa"/>
            <w:shd w:val="clear" w:color="auto" w:fill="auto"/>
          </w:tcPr>
          <w:p w14:paraId="784E938E" w14:textId="77777777" w:rsidR="00AA54B2" w:rsidRDefault="00323FB9">
            <w:pPr>
              <w:spacing w:after="0" w:line="240" w:lineRule="auto"/>
              <w:jc w:val="right"/>
            </w:pPr>
            <w:r>
              <w:t>0%</w:t>
            </w:r>
          </w:p>
        </w:tc>
        <w:tc>
          <w:tcPr>
            <w:tcW w:w="2370" w:type="dxa"/>
            <w:gridSpan w:val="2"/>
            <w:shd w:val="clear" w:color="auto" w:fill="EDEDED"/>
            <w:vAlign w:val="center"/>
          </w:tcPr>
          <w:p w14:paraId="797FA3C5" w14:textId="77777777" w:rsidR="00AA54B2" w:rsidRDefault="00323FB9">
            <w:pPr>
              <w:spacing w:after="0" w:line="240" w:lineRule="auto"/>
              <w:jc w:val="center"/>
              <w:rPr>
                <w:b/>
                <w:bCs/>
              </w:rPr>
            </w:pPr>
            <w:r>
              <w:rPr>
                <w:b/>
                <w:bCs/>
              </w:rPr>
              <w:t>Participation</w:t>
            </w:r>
          </w:p>
        </w:tc>
        <w:tc>
          <w:tcPr>
            <w:tcW w:w="2359" w:type="dxa"/>
            <w:gridSpan w:val="3"/>
            <w:shd w:val="clear" w:color="auto" w:fill="auto"/>
          </w:tcPr>
          <w:p w14:paraId="30BAC011" w14:textId="77777777" w:rsidR="00AA54B2" w:rsidRDefault="00323FB9">
            <w:pPr>
              <w:spacing w:after="0" w:line="240" w:lineRule="auto"/>
              <w:jc w:val="right"/>
            </w:pPr>
            <w:r>
              <w:t>10%</w:t>
            </w:r>
          </w:p>
        </w:tc>
      </w:tr>
      <w:tr w:rsidR="00AA54B2" w14:paraId="25BFD130" w14:textId="77777777">
        <w:trPr>
          <w:trHeight w:val="397"/>
          <w:jc w:val="center"/>
        </w:trPr>
        <w:tc>
          <w:tcPr>
            <w:tcW w:w="1524" w:type="dxa"/>
            <w:vMerge/>
            <w:shd w:val="clear" w:color="auto" w:fill="D9D9D9"/>
            <w:vAlign w:val="center"/>
          </w:tcPr>
          <w:p w14:paraId="19E8479D" w14:textId="77777777" w:rsidR="00AA54B2" w:rsidRDefault="00AA54B2">
            <w:pPr>
              <w:pBdr>
                <w:top w:val="nil"/>
                <w:left w:val="nil"/>
                <w:bottom w:val="nil"/>
                <w:right w:val="nil"/>
                <w:between w:val="nil"/>
              </w:pBdr>
              <w:spacing w:after="0" w:line="276" w:lineRule="auto"/>
              <w:jc w:val="left"/>
              <w:rPr>
                <w:color w:val="000000"/>
              </w:rPr>
            </w:pPr>
          </w:p>
        </w:tc>
        <w:tc>
          <w:tcPr>
            <w:tcW w:w="2167" w:type="dxa"/>
            <w:vMerge w:val="restart"/>
            <w:shd w:val="clear" w:color="auto" w:fill="EDEDED"/>
            <w:vAlign w:val="center"/>
          </w:tcPr>
          <w:p w14:paraId="7F100642" w14:textId="77777777" w:rsidR="00AA54B2" w:rsidRDefault="00323FB9">
            <w:pPr>
              <w:pBdr>
                <w:top w:val="nil"/>
                <w:left w:val="nil"/>
                <w:bottom w:val="nil"/>
                <w:right w:val="nil"/>
                <w:between w:val="nil"/>
              </w:pBdr>
              <w:spacing w:after="0" w:line="240" w:lineRule="auto"/>
              <w:jc w:val="center"/>
              <w:rPr>
                <w:b/>
                <w:bCs/>
                <w:color w:val="000000"/>
              </w:rPr>
            </w:pPr>
            <w:r>
              <w:rPr>
                <w:b/>
                <w:bCs/>
                <w:color w:val="000000"/>
              </w:rPr>
              <w:t>Etc.</w:t>
            </w:r>
          </w:p>
        </w:tc>
        <w:tc>
          <w:tcPr>
            <w:tcW w:w="4472" w:type="dxa"/>
            <w:gridSpan w:val="3"/>
            <w:shd w:val="clear" w:color="auto" w:fill="EDEDED"/>
            <w:vAlign w:val="center"/>
          </w:tcPr>
          <w:p w14:paraId="24CD02F8" w14:textId="77777777" w:rsidR="00AA54B2" w:rsidRDefault="00323FB9">
            <w:pPr>
              <w:pBdr>
                <w:top w:val="nil"/>
                <w:left w:val="nil"/>
                <w:bottom w:val="nil"/>
                <w:right w:val="nil"/>
                <w:between w:val="nil"/>
              </w:pBdr>
              <w:spacing w:after="0" w:line="240" w:lineRule="auto"/>
              <w:jc w:val="center"/>
              <w:rPr>
                <w:b/>
                <w:bCs/>
                <w:color w:val="000000"/>
              </w:rPr>
            </w:pPr>
            <w:r>
              <w:rPr>
                <w:b/>
                <w:bCs/>
                <w:color w:val="000000"/>
              </w:rPr>
              <w:t>Evaluation Item</w:t>
            </w:r>
          </w:p>
        </w:tc>
        <w:tc>
          <w:tcPr>
            <w:tcW w:w="2359" w:type="dxa"/>
            <w:gridSpan w:val="3"/>
            <w:shd w:val="clear" w:color="auto" w:fill="EDEDED"/>
            <w:vAlign w:val="center"/>
          </w:tcPr>
          <w:p w14:paraId="67F7BAA2" w14:textId="77777777" w:rsidR="00AA54B2" w:rsidRDefault="00323FB9">
            <w:pPr>
              <w:pBdr>
                <w:top w:val="nil"/>
                <w:left w:val="nil"/>
                <w:bottom w:val="nil"/>
                <w:right w:val="nil"/>
                <w:between w:val="nil"/>
              </w:pBdr>
              <w:spacing w:after="0" w:line="240" w:lineRule="auto"/>
              <w:jc w:val="center"/>
              <w:rPr>
                <w:b/>
                <w:bCs/>
                <w:color w:val="000000"/>
              </w:rPr>
            </w:pPr>
            <w:r>
              <w:rPr>
                <w:b/>
                <w:bCs/>
                <w:color w:val="000000"/>
              </w:rPr>
              <w:t>Ratio</w:t>
            </w:r>
          </w:p>
        </w:tc>
      </w:tr>
      <w:tr w:rsidR="00AA54B2" w14:paraId="16F0BDCB" w14:textId="77777777">
        <w:trPr>
          <w:trHeight w:val="397"/>
          <w:jc w:val="center"/>
        </w:trPr>
        <w:tc>
          <w:tcPr>
            <w:tcW w:w="1524" w:type="dxa"/>
            <w:vMerge/>
            <w:shd w:val="clear" w:color="auto" w:fill="D9D9D9"/>
            <w:vAlign w:val="center"/>
          </w:tcPr>
          <w:p w14:paraId="4AC8ED56" w14:textId="77777777" w:rsidR="00AA54B2" w:rsidRDefault="00AA54B2">
            <w:pPr>
              <w:pBdr>
                <w:top w:val="nil"/>
                <w:left w:val="nil"/>
                <w:bottom w:val="nil"/>
                <w:right w:val="nil"/>
                <w:between w:val="nil"/>
              </w:pBdr>
              <w:spacing w:after="0" w:line="276" w:lineRule="auto"/>
              <w:jc w:val="left"/>
              <w:rPr>
                <w:b/>
                <w:bCs/>
                <w:color w:val="000000"/>
              </w:rPr>
            </w:pPr>
          </w:p>
        </w:tc>
        <w:tc>
          <w:tcPr>
            <w:tcW w:w="2167" w:type="dxa"/>
            <w:vMerge/>
            <w:shd w:val="clear" w:color="auto" w:fill="EDEDED"/>
            <w:vAlign w:val="center"/>
          </w:tcPr>
          <w:p w14:paraId="1945E059" w14:textId="77777777" w:rsidR="00AA54B2" w:rsidRDefault="00AA54B2">
            <w:pPr>
              <w:pBdr>
                <w:top w:val="nil"/>
                <w:left w:val="nil"/>
                <w:bottom w:val="nil"/>
                <w:right w:val="nil"/>
                <w:between w:val="nil"/>
              </w:pBdr>
              <w:spacing w:after="0" w:line="276" w:lineRule="auto"/>
              <w:jc w:val="left"/>
              <w:rPr>
                <w:b/>
                <w:bCs/>
                <w:color w:val="000000"/>
              </w:rPr>
            </w:pPr>
          </w:p>
        </w:tc>
        <w:tc>
          <w:tcPr>
            <w:tcW w:w="4472" w:type="dxa"/>
            <w:gridSpan w:val="3"/>
            <w:shd w:val="clear" w:color="auto" w:fill="auto"/>
          </w:tcPr>
          <w:p w14:paraId="28BC8396" w14:textId="77777777" w:rsidR="00AA54B2" w:rsidRDefault="00AA54B2">
            <w:pPr>
              <w:pBdr>
                <w:top w:val="nil"/>
                <w:left w:val="nil"/>
                <w:bottom w:val="nil"/>
                <w:right w:val="nil"/>
                <w:between w:val="nil"/>
              </w:pBdr>
              <w:spacing w:after="0" w:line="240" w:lineRule="auto"/>
              <w:rPr>
                <w:color w:val="000000"/>
              </w:rPr>
            </w:pPr>
          </w:p>
        </w:tc>
        <w:tc>
          <w:tcPr>
            <w:tcW w:w="2359" w:type="dxa"/>
            <w:gridSpan w:val="3"/>
            <w:shd w:val="clear" w:color="auto" w:fill="auto"/>
          </w:tcPr>
          <w:p w14:paraId="6310CF62" w14:textId="77777777" w:rsidR="00AA54B2" w:rsidRDefault="00323FB9">
            <w:pPr>
              <w:pBdr>
                <w:top w:val="nil"/>
                <w:left w:val="nil"/>
                <w:bottom w:val="nil"/>
                <w:right w:val="nil"/>
                <w:between w:val="nil"/>
              </w:pBdr>
              <w:spacing w:after="0" w:line="240" w:lineRule="auto"/>
              <w:jc w:val="right"/>
              <w:rPr>
                <w:color w:val="000000"/>
              </w:rPr>
            </w:pPr>
            <w:r>
              <w:rPr>
                <w:color w:val="000000"/>
              </w:rPr>
              <w:t>%</w:t>
            </w:r>
          </w:p>
        </w:tc>
      </w:tr>
      <w:tr w:rsidR="00AA54B2" w14:paraId="419C19EF" w14:textId="77777777">
        <w:trPr>
          <w:trHeight w:val="397"/>
          <w:jc w:val="center"/>
        </w:trPr>
        <w:tc>
          <w:tcPr>
            <w:tcW w:w="1524" w:type="dxa"/>
            <w:vMerge/>
            <w:shd w:val="clear" w:color="auto" w:fill="D9D9D9"/>
            <w:vAlign w:val="center"/>
          </w:tcPr>
          <w:p w14:paraId="2CADCA65" w14:textId="77777777" w:rsidR="00AA54B2" w:rsidRDefault="00AA54B2">
            <w:pPr>
              <w:pBdr>
                <w:top w:val="nil"/>
                <w:left w:val="nil"/>
                <w:bottom w:val="nil"/>
                <w:right w:val="nil"/>
                <w:between w:val="nil"/>
              </w:pBdr>
              <w:spacing w:after="0" w:line="276" w:lineRule="auto"/>
              <w:jc w:val="left"/>
              <w:rPr>
                <w:color w:val="000000"/>
              </w:rPr>
            </w:pPr>
          </w:p>
        </w:tc>
        <w:tc>
          <w:tcPr>
            <w:tcW w:w="2167" w:type="dxa"/>
            <w:vMerge/>
            <w:shd w:val="clear" w:color="auto" w:fill="EDEDED"/>
            <w:vAlign w:val="center"/>
          </w:tcPr>
          <w:p w14:paraId="223A60A1" w14:textId="77777777" w:rsidR="00AA54B2" w:rsidRDefault="00AA54B2">
            <w:pPr>
              <w:pBdr>
                <w:top w:val="nil"/>
                <w:left w:val="nil"/>
                <w:bottom w:val="nil"/>
                <w:right w:val="nil"/>
                <w:between w:val="nil"/>
              </w:pBdr>
              <w:spacing w:after="0" w:line="276" w:lineRule="auto"/>
              <w:jc w:val="left"/>
              <w:rPr>
                <w:color w:val="000000"/>
              </w:rPr>
            </w:pPr>
          </w:p>
        </w:tc>
        <w:tc>
          <w:tcPr>
            <w:tcW w:w="4472" w:type="dxa"/>
            <w:gridSpan w:val="3"/>
            <w:shd w:val="clear" w:color="auto" w:fill="auto"/>
          </w:tcPr>
          <w:p w14:paraId="3499D575" w14:textId="77777777" w:rsidR="00AA54B2" w:rsidRDefault="00AA54B2">
            <w:pPr>
              <w:pBdr>
                <w:top w:val="nil"/>
                <w:left w:val="nil"/>
                <w:bottom w:val="nil"/>
                <w:right w:val="nil"/>
                <w:between w:val="nil"/>
              </w:pBdr>
              <w:spacing w:after="0" w:line="240" w:lineRule="auto"/>
              <w:rPr>
                <w:color w:val="000000"/>
              </w:rPr>
            </w:pPr>
          </w:p>
        </w:tc>
        <w:tc>
          <w:tcPr>
            <w:tcW w:w="2359" w:type="dxa"/>
            <w:gridSpan w:val="3"/>
            <w:shd w:val="clear" w:color="auto" w:fill="auto"/>
          </w:tcPr>
          <w:p w14:paraId="0C9EC299" w14:textId="77777777" w:rsidR="00AA54B2" w:rsidRDefault="00323FB9">
            <w:pPr>
              <w:pBdr>
                <w:top w:val="nil"/>
                <w:left w:val="nil"/>
                <w:bottom w:val="nil"/>
                <w:right w:val="nil"/>
                <w:between w:val="nil"/>
              </w:pBdr>
              <w:spacing w:after="0" w:line="240" w:lineRule="auto"/>
              <w:jc w:val="right"/>
              <w:rPr>
                <w:color w:val="000000"/>
              </w:rPr>
            </w:pPr>
            <w:r>
              <w:rPr>
                <w:color w:val="000000"/>
              </w:rPr>
              <w:t>%</w:t>
            </w:r>
          </w:p>
        </w:tc>
      </w:tr>
    </w:tbl>
    <w:p w14:paraId="1C9BC210" w14:textId="77777777" w:rsidR="00AA54B2" w:rsidRDefault="00AA54B2">
      <w:pPr>
        <w:pBdr>
          <w:top w:val="nil"/>
          <w:left w:val="nil"/>
          <w:bottom w:val="nil"/>
          <w:right w:val="nil"/>
          <w:between w:val="nil"/>
        </w:pBdr>
        <w:spacing w:after="0" w:line="240" w:lineRule="auto"/>
        <w:rPr>
          <w:sz w:val="14"/>
          <w:szCs w:val="14"/>
        </w:rPr>
      </w:pPr>
    </w:p>
    <w:p w14:paraId="1E70AA4B" w14:textId="77777777" w:rsidR="00AA54B2" w:rsidRDefault="00323FB9">
      <w:pPr>
        <w:pBdr>
          <w:top w:val="nil"/>
          <w:left w:val="nil"/>
          <w:bottom w:val="nil"/>
          <w:right w:val="nil"/>
          <w:between w:val="nil"/>
        </w:pBdr>
        <w:spacing w:after="0" w:line="240" w:lineRule="auto"/>
        <w:rPr>
          <w:rFonts w:ascii="Arial" w:eastAsia="Arial" w:hAnsi="Arial" w:cs="Arial"/>
          <w:b/>
          <w:bCs/>
          <w:color w:val="000000"/>
          <w:sz w:val="22"/>
          <w:szCs w:val="22"/>
        </w:rPr>
      </w:pPr>
      <w:r>
        <w:rPr>
          <w:rFonts w:ascii="Arial" w:eastAsia="Arial" w:hAnsi="Arial" w:cs="Arial"/>
          <w:b/>
          <w:bCs/>
          <w:color w:val="000000"/>
          <w:sz w:val="22"/>
          <w:szCs w:val="22"/>
        </w:rPr>
        <w:t>Daily Lecture Plan</w:t>
      </w:r>
    </w:p>
    <w:tbl>
      <w:tblPr>
        <w:tblStyle w:val="a6"/>
        <w:tblW w:w="10440" w:type="dxa"/>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185"/>
        <w:gridCol w:w="9255"/>
      </w:tblGrid>
      <w:tr w:rsidR="00AA54B2" w14:paraId="33F41A4C" w14:textId="77777777">
        <w:trPr>
          <w:cantSplit/>
        </w:trPr>
        <w:tc>
          <w:tcPr>
            <w:tcW w:w="1185"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6341C7DA" w14:textId="77777777" w:rsidR="00AA54B2" w:rsidRDefault="00323FB9">
            <w:pPr>
              <w:spacing w:after="0" w:line="240" w:lineRule="auto"/>
              <w:rPr>
                <w:rFonts w:ascii="Times New Roman" w:eastAsia="Times New Roman" w:hAnsi="Times New Roman" w:cs="Times New Roman"/>
              </w:rPr>
            </w:pPr>
            <w:r>
              <w:rPr>
                <w:rFonts w:ascii="Times New Roman" w:eastAsia="Times New Roman" w:hAnsi="Times New Roman" w:cs="Times New Roman"/>
              </w:rPr>
              <w:lastRenderedPageBreak/>
              <w:t>Day 1</w:t>
            </w:r>
          </w:p>
        </w:tc>
        <w:tc>
          <w:tcPr>
            <w:tcW w:w="9255"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6D9CD068" w14:textId="77777777" w:rsidR="00AA54B2" w:rsidRDefault="00323FB9">
            <w:pPr>
              <w:spacing w:after="0" w:line="240" w:lineRule="auto"/>
              <w:rPr>
                <w:rFonts w:ascii="Times New Roman" w:eastAsia="Times New Roman" w:hAnsi="Times New Roman" w:cs="Times New Roman"/>
              </w:rPr>
            </w:pPr>
            <w:r>
              <w:rPr>
                <w:rFonts w:ascii="Times New Roman" w:eastAsia="Times New Roman" w:hAnsi="Times New Roman" w:cs="Times New Roman"/>
              </w:rPr>
              <w:t>Course Introduction: The Nexus of Culture, Content, and Finance. Overview of the creative economy, defining culture and content as economic goods, and introduction to the course's interdisciplinary framework.</w:t>
            </w:r>
          </w:p>
        </w:tc>
      </w:tr>
      <w:tr w:rsidR="00AA54B2" w14:paraId="221863C9" w14:textId="77777777">
        <w:trPr>
          <w:cantSplit/>
        </w:trPr>
        <w:tc>
          <w:tcPr>
            <w:tcW w:w="1185"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36A19A78" w14:textId="77777777" w:rsidR="00AA54B2" w:rsidRDefault="00323FB9">
            <w:pPr>
              <w:spacing w:after="0" w:line="240" w:lineRule="auto"/>
              <w:rPr>
                <w:rFonts w:ascii="Times New Roman" w:eastAsia="Times New Roman" w:hAnsi="Times New Roman" w:cs="Times New Roman"/>
              </w:rPr>
            </w:pPr>
            <w:r>
              <w:rPr>
                <w:rFonts w:ascii="Times New Roman" w:eastAsia="Times New Roman" w:hAnsi="Times New Roman" w:cs="Times New Roman"/>
              </w:rPr>
              <w:t>Day 2</w:t>
            </w:r>
          </w:p>
        </w:tc>
        <w:tc>
          <w:tcPr>
            <w:tcW w:w="9255"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70AFC4A8" w14:textId="77777777" w:rsidR="00AA54B2" w:rsidRDefault="00323FB9">
            <w:pPr>
              <w:spacing w:after="0" w:line="240" w:lineRule="auto"/>
              <w:rPr>
                <w:rFonts w:ascii="Times New Roman" w:eastAsia="Times New Roman" w:hAnsi="Times New Roman" w:cs="Times New Roman"/>
              </w:rPr>
            </w:pPr>
            <w:r>
              <w:rPr>
                <w:rFonts w:ascii="Times New Roman" w:eastAsia="Times New Roman" w:hAnsi="Times New Roman" w:cs="Times New Roman"/>
              </w:rPr>
              <w:t>Economic Structure of Creative Industries. Analysis of value chains, market dynamics, and common monetization models (e.g., advertising, subscription, transaction) across different creative sectors.</w:t>
            </w:r>
          </w:p>
        </w:tc>
      </w:tr>
      <w:tr w:rsidR="00AA54B2" w14:paraId="5F7B128E" w14:textId="77777777">
        <w:trPr>
          <w:cantSplit/>
        </w:trPr>
        <w:tc>
          <w:tcPr>
            <w:tcW w:w="1185"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1CB8C826" w14:textId="77777777" w:rsidR="00AA54B2" w:rsidRDefault="00323FB9">
            <w:pPr>
              <w:spacing w:after="0" w:line="240" w:lineRule="auto"/>
              <w:rPr>
                <w:rFonts w:ascii="Times New Roman" w:eastAsia="Times New Roman" w:hAnsi="Times New Roman" w:cs="Times New Roman"/>
              </w:rPr>
            </w:pPr>
            <w:r>
              <w:rPr>
                <w:rFonts w:ascii="Times New Roman" w:eastAsia="Times New Roman" w:hAnsi="Times New Roman" w:cs="Times New Roman"/>
              </w:rPr>
              <w:t>Day 3</w:t>
            </w:r>
          </w:p>
        </w:tc>
        <w:tc>
          <w:tcPr>
            <w:tcW w:w="9255"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77E32122" w14:textId="77777777" w:rsidR="00AA54B2" w:rsidRDefault="00323FB9">
            <w:pPr>
              <w:spacing w:after="0" w:line="240" w:lineRule="auto"/>
              <w:rPr>
                <w:rFonts w:ascii="Times New Roman" w:eastAsia="Times New Roman" w:hAnsi="Times New Roman" w:cs="Times New Roman"/>
              </w:rPr>
            </w:pPr>
            <w:r>
              <w:rPr>
                <w:rFonts w:ascii="Times New Roman" w:eastAsia="Times New Roman" w:hAnsi="Times New Roman" w:cs="Times New Roman"/>
              </w:rPr>
              <w:t>Financial Fundamentals for Creative Enterprises. Core financial concepts (e.g., cash flow, revenue recognition, capital budgeting) and how they apply uniquely to creative, project-based organizations. Introduce Harvard Business Case 1.</w:t>
            </w:r>
          </w:p>
        </w:tc>
      </w:tr>
      <w:tr w:rsidR="00AA54B2" w14:paraId="32CF7928" w14:textId="77777777">
        <w:trPr>
          <w:cantSplit/>
        </w:trPr>
        <w:tc>
          <w:tcPr>
            <w:tcW w:w="1185"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0F83BF82" w14:textId="77777777" w:rsidR="00AA54B2" w:rsidRDefault="00323FB9">
            <w:pPr>
              <w:spacing w:after="0" w:line="240" w:lineRule="auto"/>
              <w:rPr>
                <w:rFonts w:ascii="Times New Roman" w:eastAsia="Times New Roman" w:hAnsi="Times New Roman" w:cs="Times New Roman"/>
              </w:rPr>
            </w:pPr>
            <w:r>
              <w:rPr>
                <w:rFonts w:ascii="Times New Roman" w:eastAsia="Times New Roman" w:hAnsi="Times New Roman" w:cs="Times New Roman"/>
              </w:rPr>
              <w:t>Day 4</w:t>
            </w:r>
          </w:p>
        </w:tc>
        <w:tc>
          <w:tcPr>
            <w:tcW w:w="9255"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4C56A39C" w14:textId="77777777" w:rsidR="00AA54B2" w:rsidRDefault="00323FB9">
            <w:pPr>
              <w:spacing w:after="0" w:line="240" w:lineRule="auto"/>
              <w:rPr>
                <w:rFonts w:ascii="Times New Roman" w:eastAsia="Times New Roman" w:hAnsi="Times New Roman" w:cs="Times New Roman"/>
              </w:rPr>
            </w:pPr>
            <w:r>
              <w:rPr>
                <w:rFonts w:ascii="Times New Roman" w:eastAsia="Times New Roman" w:hAnsi="Times New Roman" w:cs="Times New Roman"/>
              </w:rPr>
              <w:t>Financing Creative Projects: Sources of Capital. Exploration of funding sources including venture capital, government grants, film finance, arts endowments, and crowdfunding. Discussion of Harvard Business Case 1.</w:t>
            </w:r>
          </w:p>
        </w:tc>
      </w:tr>
      <w:tr w:rsidR="00AA54B2" w14:paraId="6849BFD7" w14:textId="77777777">
        <w:trPr>
          <w:cantSplit/>
        </w:trPr>
        <w:tc>
          <w:tcPr>
            <w:tcW w:w="1185"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5C67B312" w14:textId="77777777" w:rsidR="00AA54B2" w:rsidRDefault="00323FB9">
            <w:pPr>
              <w:spacing w:after="0" w:line="240" w:lineRule="auto"/>
              <w:rPr>
                <w:rFonts w:ascii="Times New Roman" w:eastAsia="Times New Roman" w:hAnsi="Times New Roman" w:cs="Times New Roman"/>
              </w:rPr>
            </w:pPr>
            <w:r>
              <w:rPr>
                <w:rFonts w:ascii="Times New Roman" w:eastAsia="Times New Roman" w:hAnsi="Times New Roman" w:cs="Times New Roman"/>
              </w:rPr>
              <w:t>Day 5</w:t>
            </w:r>
          </w:p>
        </w:tc>
        <w:tc>
          <w:tcPr>
            <w:tcW w:w="9255"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114D9495" w14:textId="77777777" w:rsidR="00AA54B2" w:rsidRDefault="00323FB9">
            <w:pPr>
              <w:spacing w:after="0" w:line="240" w:lineRule="auto"/>
              <w:rPr>
                <w:rFonts w:ascii="Times New Roman" w:eastAsia="Times New Roman" w:hAnsi="Times New Roman" w:cs="Times New Roman"/>
              </w:rPr>
            </w:pPr>
            <w:r>
              <w:rPr>
                <w:rFonts w:ascii="Times New Roman" w:eastAsia="Times New Roman" w:hAnsi="Times New Roman" w:cs="Times New Roman"/>
              </w:rPr>
              <w:t>Financial Strategies in the Film and Television Industry. Focus on risk management, co-production deals, distribution financing, and the economics of streaming platforms.</w:t>
            </w:r>
          </w:p>
        </w:tc>
      </w:tr>
      <w:tr w:rsidR="00AA54B2" w14:paraId="15A31DCC" w14:textId="77777777">
        <w:trPr>
          <w:cantSplit/>
        </w:trPr>
        <w:tc>
          <w:tcPr>
            <w:tcW w:w="1185"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70517F48" w14:textId="77777777" w:rsidR="00AA54B2" w:rsidRDefault="00323FB9">
            <w:pPr>
              <w:spacing w:after="0" w:line="240" w:lineRule="auto"/>
              <w:rPr>
                <w:rFonts w:ascii="Times New Roman" w:eastAsia="Times New Roman" w:hAnsi="Times New Roman" w:cs="Times New Roman"/>
              </w:rPr>
            </w:pPr>
            <w:r>
              <w:rPr>
                <w:rFonts w:ascii="Times New Roman" w:eastAsia="Times New Roman" w:hAnsi="Times New Roman" w:cs="Times New Roman"/>
              </w:rPr>
              <w:t>Day 6</w:t>
            </w:r>
          </w:p>
        </w:tc>
        <w:tc>
          <w:tcPr>
            <w:tcW w:w="9255"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018CE7BE" w14:textId="77777777" w:rsidR="00AA54B2" w:rsidRDefault="00323FB9">
            <w:pPr>
              <w:spacing w:after="0" w:line="240" w:lineRule="auto"/>
              <w:rPr>
                <w:rFonts w:ascii="Times New Roman" w:eastAsia="Times New Roman" w:hAnsi="Times New Roman" w:cs="Times New Roman"/>
              </w:rPr>
            </w:pPr>
            <w:r>
              <w:rPr>
                <w:rFonts w:ascii="Times New Roman" w:eastAsia="Times New Roman" w:hAnsi="Times New Roman" w:cs="Times New Roman"/>
              </w:rPr>
              <w:t>Financial Strategies in the Music Industry. Examination of digital monetization, intellectual property (IP) rights and royalties, and the financial structure of live music and touring. Introduce Harvard Business Case 2.</w:t>
            </w:r>
          </w:p>
        </w:tc>
      </w:tr>
      <w:tr w:rsidR="00AA54B2" w14:paraId="21FC3E48" w14:textId="77777777">
        <w:trPr>
          <w:cantSplit/>
        </w:trPr>
        <w:tc>
          <w:tcPr>
            <w:tcW w:w="1185"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2DBAD050" w14:textId="77777777" w:rsidR="00AA54B2" w:rsidRDefault="00323FB9">
            <w:pPr>
              <w:spacing w:after="0" w:line="240" w:lineRule="auto"/>
              <w:rPr>
                <w:rFonts w:ascii="Times New Roman" w:eastAsia="Times New Roman" w:hAnsi="Times New Roman" w:cs="Times New Roman"/>
              </w:rPr>
            </w:pPr>
            <w:r>
              <w:rPr>
                <w:rFonts w:ascii="Times New Roman" w:eastAsia="Times New Roman" w:hAnsi="Times New Roman" w:cs="Times New Roman"/>
              </w:rPr>
              <w:t>Day 7</w:t>
            </w:r>
          </w:p>
        </w:tc>
        <w:tc>
          <w:tcPr>
            <w:tcW w:w="9255"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72D64AB0" w14:textId="77777777" w:rsidR="00AA54B2" w:rsidRDefault="00323FB9">
            <w:pPr>
              <w:spacing w:after="0" w:line="240" w:lineRule="auto"/>
              <w:rPr>
                <w:rFonts w:ascii="Times New Roman" w:eastAsia="Times New Roman" w:hAnsi="Times New Roman" w:cs="Times New Roman"/>
              </w:rPr>
            </w:pPr>
            <w:r>
              <w:rPr>
                <w:rFonts w:ascii="Times New Roman" w:eastAsia="Times New Roman" w:hAnsi="Times New Roman" w:cs="Times New Roman"/>
              </w:rPr>
              <w:t>Financial Strategies in the Gaming and Interactive Content Sector. Analysis of free-to-play, subscription, and in-game purchase models; platform economics and developer financing. Discussion of Harvard Business Case 2.</w:t>
            </w:r>
          </w:p>
        </w:tc>
      </w:tr>
      <w:tr w:rsidR="00AA54B2" w14:paraId="14BBB8CF" w14:textId="77777777">
        <w:trPr>
          <w:cantSplit/>
        </w:trPr>
        <w:tc>
          <w:tcPr>
            <w:tcW w:w="1185"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64EE2772" w14:textId="77777777" w:rsidR="00AA54B2" w:rsidRDefault="00323FB9">
            <w:pPr>
              <w:spacing w:after="0" w:line="240" w:lineRule="auto"/>
              <w:rPr>
                <w:rFonts w:ascii="Times New Roman" w:eastAsia="Times New Roman" w:hAnsi="Times New Roman" w:cs="Times New Roman"/>
              </w:rPr>
            </w:pPr>
            <w:r>
              <w:rPr>
                <w:rFonts w:ascii="Times New Roman" w:eastAsia="Times New Roman" w:hAnsi="Times New Roman" w:cs="Times New Roman"/>
              </w:rPr>
              <w:t>Day 8</w:t>
            </w:r>
          </w:p>
        </w:tc>
        <w:tc>
          <w:tcPr>
            <w:tcW w:w="9255"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1F6C31B5" w14:textId="77777777" w:rsidR="00AA54B2" w:rsidRDefault="00323FB9">
            <w:pPr>
              <w:spacing w:after="0" w:line="240" w:lineRule="auto"/>
              <w:rPr>
                <w:rFonts w:ascii="Times New Roman" w:eastAsia="Times New Roman" w:hAnsi="Times New Roman" w:cs="Times New Roman"/>
              </w:rPr>
            </w:pPr>
            <w:r>
              <w:rPr>
                <w:rFonts w:ascii="Times New Roman" w:eastAsia="Times New Roman" w:hAnsi="Times New Roman" w:cs="Times New Roman"/>
              </w:rPr>
              <w:t>Valuation of Intangible Creative Assets (IP). Methods for valuing intellectual property, brands, and human capital in creative enterprises, including comparables and discounted cash flow models. Introduce Harvard Business Case 3.</w:t>
            </w:r>
          </w:p>
        </w:tc>
      </w:tr>
      <w:tr w:rsidR="00AA54B2" w14:paraId="616D3742" w14:textId="77777777">
        <w:trPr>
          <w:cantSplit/>
        </w:trPr>
        <w:tc>
          <w:tcPr>
            <w:tcW w:w="1185"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00AD9EB1" w14:textId="77777777" w:rsidR="00AA54B2" w:rsidRDefault="00323FB9">
            <w:pPr>
              <w:spacing w:after="0" w:line="240" w:lineRule="auto"/>
              <w:rPr>
                <w:rFonts w:ascii="Times New Roman" w:eastAsia="Times New Roman" w:hAnsi="Times New Roman" w:cs="Times New Roman"/>
              </w:rPr>
            </w:pPr>
            <w:r>
              <w:rPr>
                <w:rFonts w:ascii="Times New Roman" w:eastAsia="Times New Roman" w:hAnsi="Times New Roman" w:cs="Times New Roman"/>
              </w:rPr>
              <w:t>Day 9</w:t>
            </w:r>
          </w:p>
        </w:tc>
        <w:tc>
          <w:tcPr>
            <w:tcW w:w="9255"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1FAD9656" w14:textId="77777777" w:rsidR="00AA54B2" w:rsidRDefault="00323FB9">
            <w:pPr>
              <w:spacing w:after="0" w:line="240" w:lineRule="auto"/>
              <w:rPr>
                <w:rFonts w:ascii="Times New Roman" w:eastAsia="Times New Roman" w:hAnsi="Times New Roman" w:cs="Times New Roman"/>
              </w:rPr>
            </w:pPr>
            <w:r>
              <w:rPr>
                <w:rFonts w:ascii="Times New Roman" w:eastAsia="Times New Roman" w:hAnsi="Times New Roman" w:cs="Times New Roman"/>
              </w:rPr>
              <w:t>Global Content Distribution and Cross-Border Finance. Strategies for international market entry, managing currency risk, and structuring international co-financing and distribution agreements. Discussion of Harvard Business Case 3.</w:t>
            </w:r>
          </w:p>
        </w:tc>
      </w:tr>
      <w:tr w:rsidR="00AA54B2" w14:paraId="38CCBED2" w14:textId="77777777">
        <w:trPr>
          <w:cantSplit/>
        </w:trPr>
        <w:tc>
          <w:tcPr>
            <w:tcW w:w="1185"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35EDD866" w14:textId="77777777" w:rsidR="00AA54B2" w:rsidRDefault="00323FB9">
            <w:pPr>
              <w:spacing w:after="0" w:line="240" w:lineRule="auto"/>
              <w:rPr>
                <w:rFonts w:ascii="Times New Roman" w:eastAsia="Times New Roman" w:hAnsi="Times New Roman" w:cs="Times New Roman"/>
              </w:rPr>
            </w:pPr>
            <w:r>
              <w:rPr>
                <w:rFonts w:ascii="Times New Roman" w:eastAsia="Times New Roman" w:hAnsi="Times New Roman" w:cs="Times New Roman"/>
              </w:rPr>
              <w:t>Day 10</w:t>
            </w:r>
          </w:p>
        </w:tc>
        <w:tc>
          <w:tcPr>
            <w:tcW w:w="9255"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00939521" w14:textId="77777777" w:rsidR="00AA54B2" w:rsidRDefault="00323FB9">
            <w:pPr>
              <w:spacing w:after="0" w:line="240" w:lineRule="auto"/>
              <w:rPr>
                <w:rFonts w:ascii="Times New Roman" w:eastAsia="Times New Roman" w:hAnsi="Times New Roman" w:cs="Times New Roman"/>
              </w:rPr>
            </w:pPr>
            <w:r>
              <w:rPr>
                <w:rFonts w:ascii="Times New Roman" w:eastAsia="Times New Roman" w:hAnsi="Times New Roman" w:cs="Times New Roman"/>
              </w:rPr>
              <w:t>Innovation and Entrepreneurship in the Creative Economy. Developing and pitching new business models, managing startup finance, and scaling creative ventures. Introduce Harvard Business Case 4.</w:t>
            </w:r>
          </w:p>
        </w:tc>
      </w:tr>
      <w:tr w:rsidR="00AA54B2" w14:paraId="469EEB75" w14:textId="77777777">
        <w:trPr>
          <w:cantSplit/>
        </w:trPr>
        <w:tc>
          <w:tcPr>
            <w:tcW w:w="1185"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21C16219" w14:textId="77777777" w:rsidR="00AA54B2" w:rsidRDefault="00323FB9">
            <w:pPr>
              <w:spacing w:after="0" w:line="240" w:lineRule="auto"/>
              <w:rPr>
                <w:rFonts w:ascii="Times New Roman" w:eastAsia="Times New Roman" w:hAnsi="Times New Roman" w:cs="Times New Roman"/>
              </w:rPr>
            </w:pPr>
            <w:r>
              <w:rPr>
                <w:rFonts w:ascii="Times New Roman" w:eastAsia="Times New Roman" w:hAnsi="Times New Roman" w:cs="Times New Roman"/>
              </w:rPr>
              <w:t>Day 11</w:t>
            </w:r>
          </w:p>
        </w:tc>
        <w:tc>
          <w:tcPr>
            <w:tcW w:w="9255"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12DD15ED" w14:textId="77777777" w:rsidR="00AA54B2" w:rsidRDefault="00323FB9">
            <w:pPr>
              <w:spacing w:after="0" w:line="240" w:lineRule="auto"/>
              <w:rPr>
                <w:rFonts w:ascii="Times New Roman" w:eastAsia="Times New Roman" w:hAnsi="Times New Roman" w:cs="Times New Roman"/>
              </w:rPr>
            </w:pPr>
            <w:r>
              <w:rPr>
                <w:rFonts w:ascii="Times New Roman" w:eastAsia="Times New Roman" w:hAnsi="Times New Roman" w:cs="Times New Roman"/>
              </w:rPr>
              <w:t>Case Study Deep Dive: A Major Creative Company. Comprehensive financial and strategic analysis of a leading company in the creative industries (e.g., Netflix, Disney, HYBE). Discussion of Harvard Business Case 4.</w:t>
            </w:r>
          </w:p>
        </w:tc>
      </w:tr>
      <w:tr w:rsidR="00AA54B2" w14:paraId="74C24191" w14:textId="77777777">
        <w:trPr>
          <w:cantSplit/>
        </w:trPr>
        <w:tc>
          <w:tcPr>
            <w:tcW w:w="1185"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59BBB07C" w14:textId="77777777" w:rsidR="00AA54B2" w:rsidRDefault="00323FB9">
            <w:pPr>
              <w:spacing w:after="0" w:line="240" w:lineRule="auto"/>
              <w:rPr>
                <w:rFonts w:ascii="Times New Roman" w:eastAsia="Times New Roman" w:hAnsi="Times New Roman" w:cs="Times New Roman"/>
              </w:rPr>
            </w:pPr>
            <w:r>
              <w:rPr>
                <w:rFonts w:ascii="Times New Roman" w:eastAsia="Times New Roman" w:hAnsi="Times New Roman" w:cs="Times New Roman"/>
              </w:rPr>
              <w:t>Day 12</w:t>
            </w:r>
          </w:p>
        </w:tc>
        <w:tc>
          <w:tcPr>
            <w:tcW w:w="9255"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106E5BBE" w14:textId="77777777" w:rsidR="00AA54B2" w:rsidRDefault="00323FB9">
            <w:pPr>
              <w:spacing w:after="0" w:line="240" w:lineRule="auto"/>
              <w:rPr>
                <w:rFonts w:ascii="Times New Roman" w:eastAsia="Times New Roman" w:hAnsi="Times New Roman" w:cs="Times New Roman"/>
              </w:rPr>
            </w:pPr>
            <w:r>
              <w:rPr>
                <w:rFonts w:ascii="Times New Roman" w:eastAsia="Times New Roman" w:hAnsi="Times New Roman" w:cs="Times New Roman"/>
              </w:rPr>
              <w:t>Impact Investing and Non-Financial Metrics. The role of Environmental, Social, and Governance (ESG) factors and measuring cultural, social, and economic impacts beyond simple profit.</w:t>
            </w:r>
          </w:p>
        </w:tc>
      </w:tr>
      <w:tr w:rsidR="00AA54B2" w14:paraId="721CA564" w14:textId="77777777">
        <w:trPr>
          <w:cantSplit/>
        </w:trPr>
        <w:tc>
          <w:tcPr>
            <w:tcW w:w="1185"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5B5A44B2" w14:textId="77777777" w:rsidR="00AA54B2" w:rsidRDefault="00323FB9">
            <w:pPr>
              <w:spacing w:after="0" w:line="240" w:lineRule="auto"/>
              <w:rPr>
                <w:rFonts w:ascii="Times New Roman" w:eastAsia="Times New Roman" w:hAnsi="Times New Roman" w:cs="Times New Roman"/>
              </w:rPr>
            </w:pPr>
            <w:r>
              <w:rPr>
                <w:rFonts w:ascii="Times New Roman" w:eastAsia="Times New Roman" w:hAnsi="Times New Roman" w:cs="Times New Roman"/>
              </w:rPr>
              <w:t>Day 13</w:t>
            </w:r>
          </w:p>
        </w:tc>
        <w:tc>
          <w:tcPr>
            <w:tcW w:w="9255"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310A4598" w14:textId="77777777" w:rsidR="00AA54B2" w:rsidRDefault="00323FB9">
            <w:pPr>
              <w:spacing w:after="0" w:line="240" w:lineRule="auto"/>
              <w:rPr>
                <w:rFonts w:ascii="Times New Roman" w:eastAsia="Times New Roman" w:hAnsi="Times New Roman" w:cs="Times New Roman"/>
              </w:rPr>
            </w:pPr>
            <w:r>
              <w:rPr>
                <w:rFonts w:ascii="Times New Roman" w:eastAsia="Times New Roman" w:hAnsi="Times New Roman" w:cs="Times New Roman"/>
              </w:rPr>
              <w:t>The Future of Creative Finance. Emerging technologies like Web3, NFTs, and AI's influence on content creation, ownership, and financial transactions.</w:t>
            </w:r>
          </w:p>
        </w:tc>
      </w:tr>
      <w:tr w:rsidR="00AA54B2" w14:paraId="44D75B7F" w14:textId="77777777">
        <w:trPr>
          <w:cantSplit/>
        </w:trPr>
        <w:tc>
          <w:tcPr>
            <w:tcW w:w="1185"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5001F0FA" w14:textId="77777777" w:rsidR="00AA54B2" w:rsidRDefault="00323FB9">
            <w:pPr>
              <w:spacing w:after="0" w:line="240" w:lineRule="auto"/>
              <w:rPr>
                <w:rFonts w:ascii="Times New Roman" w:eastAsia="Times New Roman" w:hAnsi="Times New Roman" w:cs="Times New Roman"/>
              </w:rPr>
            </w:pPr>
            <w:r>
              <w:rPr>
                <w:rFonts w:ascii="Times New Roman" w:eastAsia="Times New Roman" w:hAnsi="Times New Roman" w:cs="Times New Roman"/>
              </w:rPr>
              <w:t>Day 14</w:t>
            </w:r>
          </w:p>
        </w:tc>
        <w:tc>
          <w:tcPr>
            <w:tcW w:w="9255"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75868633" w14:textId="77777777" w:rsidR="00AA54B2" w:rsidRDefault="00323FB9">
            <w:pPr>
              <w:spacing w:after="0" w:line="240" w:lineRule="auto"/>
              <w:rPr>
                <w:rFonts w:ascii="Times New Roman" w:eastAsia="Times New Roman" w:hAnsi="Times New Roman" w:cs="Times New Roman"/>
              </w:rPr>
            </w:pPr>
            <w:r>
              <w:rPr>
                <w:rFonts w:ascii="Times New Roman" w:eastAsia="Times New Roman" w:hAnsi="Times New Roman" w:cs="Times New Roman"/>
              </w:rPr>
              <w:t>Student Presentations and Review. Dedicated class time for student presentations of assignments or group projects, and a comprehensive review of the course's key financial and strategic concepts.</w:t>
            </w:r>
          </w:p>
        </w:tc>
      </w:tr>
      <w:tr w:rsidR="00AA54B2" w14:paraId="5D0598FA" w14:textId="77777777">
        <w:trPr>
          <w:cantSplit/>
        </w:trPr>
        <w:tc>
          <w:tcPr>
            <w:tcW w:w="1185"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14DDF27A" w14:textId="77777777" w:rsidR="00AA54B2" w:rsidRDefault="00323FB9">
            <w:pPr>
              <w:spacing w:after="0" w:line="240" w:lineRule="auto"/>
              <w:rPr>
                <w:rFonts w:ascii="Times New Roman" w:eastAsia="Times New Roman" w:hAnsi="Times New Roman" w:cs="Times New Roman"/>
              </w:rPr>
            </w:pPr>
            <w:r>
              <w:rPr>
                <w:rFonts w:ascii="Times New Roman" w:eastAsia="Times New Roman" w:hAnsi="Times New Roman" w:cs="Times New Roman"/>
              </w:rPr>
              <w:t>Day 15</w:t>
            </w:r>
          </w:p>
        </w:tc>
        <w:tc>
          <w:tcPr>
            <w:tcW w:w="9255" w:type="dxa"/>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21ABF5E8" w14:textId="77777777" w:rsidR="00AA54B2" w:rsidRDefault="00323FB9">
            <w:pPr>
              <w:spacing w:after="0" w:line="240" w:lineRule="auto"/>
              <w:rPr>
                <w:rFonts w:ascii="Times New Roman" w:eastAsia="Times New Roman" w:hAnsi="Times New Roman" w:cs="Times New Roman"/>
              </w:rPr>
            </w:pPr>
            <w:r>
              <w:rPr>
                <w:rFonts w:ascii="Times New Roman" w:eastAsia="Times New Roman" w:hAnsi="Times New Roman" w:cs="Times New Roman"/>
              </w:rPr>
              <w:t>Course Wrap-up and Final Examination. Final Q&amp;A session, course synthesis, and in-class final examination covering all lecture materials and case discussions.</w:t>
            </w:r>
          </w:p>
        </w:tc>
      </w:tr>
    </w:tbl>
    <w:p w14:paraId="3ACA848A" w14:textId="77777777" w:rsidR="00AA54B2" w:rsidRDefault="00AA54B2">
      <w:pPr>
        <w:pBdr>
          <w:top w:val="nil"/>
          <w:left w:val="nil"/>
          <w:bottom w:val="nil"/>
          <w:right w:val="nil"/>
          <w:between w:val="nil"/>
        </w:pBdr>
        <w:spacing w:after="0" w:line="240" w:lineRule="auto"/>
        <w:rPr>
          <w:b/>
          <w:bCs/>
          <w:sz w:val="14"/>
          <w:szCs w:val="14"/>
        </w:rPr>
      </w:pPr>
    </w:p>
    <w:sectPr w:rsidR="00AA54B2">
      <w:headerReference w:type="default" r:id="rId9"/>
      <w:headerReference w:type="first" r:id="rId10"/>
      <w:pgSz w:w="11906" w:h="16838"/>
      <w:pgMar w:top="720" w:right="720" w:bottom="720" w:left="720" w:header="851" w:footer="992"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51E359C" w14:textId="77777777" w:rsidR="003F786D" w:rsidRDefault="00323FB9">
      <w:pPr>
        <w:spacing w:after="0" w:line="240" w:lineRule="auto"/>
      </w:pPr>
      <w:r>
        <w:separator/>
      </w:r>
    </w:p>
  </w:endnote>
  <w:endnote w:type="continuationSeparator" w:id="0">
    <w:p w14:paraId="71DE435E" w14:textId="77777777" w:rsidR="003F786D" w:rsidRDefault="00323FB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맑은 고딕">
    <w:panose1 w:val="020B0503020000020004"/>
    <w:charset w:val="81"/>
    <w:family w:val="modern"/>
    <w:pitch w:val="variable"/>
    <w:sig w:usb0="9000002F" w:usb1="29D77CFB" w:usb2="00000012" w:usb3="00000000" w:csb0="00080001" w:csb1="00000000"/>
    <w:embedRegular r:id="rId1" w:subsetted="1" w:fontKey="{E9668156-C1A7-47D6-AB77-BAB1DD3CF12B}"/>
    <w:embedBold r:id="rId2" w:subsetted="1" w:fontKey="{3D264AD3-0ED1-492A-9741-73803F813DCE}"/>
  </w:font>
  <w:font w:name="Noto Sans Symbols">
    <w:charset w:val="00"/>
    <w:family w:val="auto"/>
    <w:pitch w:val="default"/>
    <w:embedRegular r:id="rId3" w:fontKey="{CF58EEB9-05CD-4E01-8051-1AD85E4F96BE}"/>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embedItalic r:id="rId4" w:fontKey="{71EA5C24-4EB5-475F-93CE-2DAF104626E1}"/>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embedRegular r:id="rId5" w:fontKey="{E4D6A489-D28D-4A65-B0A0-32631E70F0EE}"/>
  </w:font>
  <w:font w:name="Cambria">
    <w:panose1 w:val="02040503050406030204"/>
    <w:charset w:val="00"/>
    <w:family w:val="roman"/>
    <w:pitch w:val="variable"/>
    <w:sig w:usb0="E00006FF" w:usb1="420024FF" w:usb2="02000000" w:usb3="00000000" w:csb0="0000019F" w:csb1="00000000"/>
    <w:embedRegular r:id="rId6" w:fontKey="{8DBCE1B6-E280-4894-ABE1-E62C6FAA1C04}"/>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64B742F" w14:textId="77777777" w:rsidR="003F786D" w:rsidRDefault="00323FB9">
      <w:pPr>
        <w:spacing w:after="0" w:line="240" w:lineRule="auto"/>
      </w:pPr>
      <w:r>
        <w:separator/>
      </w:r>
    </w:p>
  </w:footnote>
  <w:footnote w:type="continuationSeparator" w:id="0">
    <w:p w14:paraId="10CBB3C1" w14:textId="77777777" w:rsidR="003F786D" w:rsidRDefault="00323FB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3DC953" w14:textId="77777777" w:rsidR="00AA54B2" w:rsidRDefault="00323FB9">
    <w:pPr>
      <w:pBdr>
        <w:top w:val="nil"/>
        <w:left w:val="nil"/>
        <w:bottom w:val="nil"/>
        <w:right w:val="nil"/>
        <w:between w:val="nil"/>
      </w:pBdr>
      <w:tabs>
        <w:tab w:val="center" w:pos="4513"/>
        <w:tab w:val="right" w:pos="9026"/>
      </w:tabs>
      <w:jc w:val="right"/>
      <w:rPr>
        <w:color w:val="000000"/>
      </w:rPr>
    </w:pPr>
    <w:r>
      <w:rPr>
        <w:noProof/>
        <w:color w:val="000000"/>
        <w:sz w:val="24"/>
        <w:szCs w:val="24"/>
      </w:rPr>
      <w:drawing>
        <wp:inline distT="0" distB="0" distL="0" distR="0" wp14:anchorId="7162980B" wp14:editId="6E6FCC5D">
          <wp:extent cx="1657350" cy="266700"/>
          <wp:effectExtent l="0" t="0" r="0" b="0"/>
          <wp:docPr id="1" name="image1.png" descr="Z:\국제여름학교\2014\Promotion materials\Design\HYU.png"/>
          <wp:cNvGraphicFramePr/>
          <a:graphic xmlns:a="http://schemas.openxmlformats.org/drawingml/2006/main">
            <a:graphicData uri="http://schemas.openxmlformats.org/drawingml/2006/picture">
              <pic:pic xmlns:pic="http://schemas.openxmlformats.org/drawingml/2006/picture">
                <pic:nvPicPr>
                  <pic:cNvPr id="0" name="image1.png" descr="Z:\국제여름학교\2014\Promotion materials\Design\HYU.png"/>
                  <pic:cNvPicPr preferRelativeResize="0"/>
                </pic:nvPicPr>
                <pic:blipFill>
                  <a:blip r:embed="rId1"/>
                  <a:srcRect/>
                  <a:stretch>
                    <a:fillRect/>
                  </a:stretch>
                </pic:blipFill>
                <pic:spPr>
                  <a:xfrm>
                    <a:off x="0" y="0"/>
                    <a:ext cx="1657350" cy="266700"/>
                  </a:xfrm>
                  <a:prstGeom prst="rect">
                    <a:avLst/>
                  </a:prstGeom>
                  <a:ln/>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F1E311" w14:textId="77777777" w:rsidR="00AA54B2" w:rsidRDefault="00323FB9">
    <w:pPr>
      <w:pBdr>
        <w:top w:val="nil"/>
        <w:left w:val="nil"/>
        <w:bottom w:val="nil"/>
        <w:right w:val="nil"/>
        <w:between w:val="nil"/>
      </w:pBdr>
      <w:tabs>
        <w:tab w:val="center" w:pos="4513"/>
        <w:tab w:val="right" w:pos="9026"/>
      </w:tabs>
      <w:jc w:val="center"/>
      <w:rPr>
        <w:color w:val="000000"/>
      </w:rPr>
    </w:pPr>
    <w:r>
      <w:rPr>
        <w:noProof/>
        <w:color w:val="000000"/>
        <w:sz w:val="24"/>
        <w:szCs w:val="24"/>
      </w:rPr>
      <w:drawing>
        <wp:inline distT="0" distB="0" distL="0" distR="0" wp14:anchorId="51FFFB0E" wp14:editId="644F17E2">
          <wp:extent cx="3771900" cy="609600"/>
          <wp:effectExtent l="0" t="0" r="0" b="0"/>
          <wp:docPr id="2" name="image1.png" descr="Z:\국제여름학교\2014\Promotion materials\Design\HYU.png"/>
          <wp:cNvGraphicFramePr/>
          <a:graphic xmlns:a="http://schemas.openxmlformats.org/drawingml/2006/main">
            <a:graphicData uri="http://schemas.openxmlformats.org/drawingml/2006/picture">
              <pic:pic xmlns:pic="http://schemas.openxmlformats.org/drawingml/2006/picture">
                <pic:nvPicPr>
                  <pic:cNvPr id="0" name="image1.png" descr="Z:\국제여름학교\2014\Promotion materials\Design\HYU.png"/>
                  <pic:cNvPicPr preferRelativeResize="0"/>
                </pic:nvPicPr>
                <pic:blipFill>
                  <a:blip r:embed="rId1"/>
                  <a:srcRect/>
                  <a:stretch>
                    <a:fillRect/>
                  </a:stretch>
                </pic:blipFill>
                <pic:spPr>
                  <a:xfrm>
                    <a:off x="0" y="0"/>
                    <a:ext cx="3771900" cy="609600"/>
                  </a:xfrm>
                  <a:prstGeom prst="rect">
                    <a:avLst/>
                  </a:prstGeom>
                  <a:ln/>
                </pic:spPr>
              </pic:pic>
            </a:graphicData>
          </a:graphic>
        </wp:inline>
      </w:drawing>
    </w:r>
    <w:r>
      <w:rPr>
        <w:color w:val="000000"/>
      </w:rPr>
      <w:br/>
    </w:r>
    <w:r>
      <w:rPr>
        <w:b/>
        <w:bCs/>
        <w:color w:val="000000"/>
        <w:sz w:val="28"/>
        <w:szCs w:val="28"/>
      </w:rPr>
      <w:t>Hanyang International Summer School</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C4F335D"/>
    <w:multiLevelType w:val="multilevel"/>
    <w:tmpl w:val="5962688A"/>
    <w:lvl w:ilvl="0">
      <w:start w:val="5"/>
      <w:numFmt w:val="bullet"/>
      <w:lvlText w:val="-"/>
      <w:lvlJc w:val="left"/>
      <w:pPr>
        <w:ind w:left="760" w:hanging="360"/>
      </w:pPr>
      <w:rPr>
        <w:rFonts w:ascii="맑은 고딕" w:eastAsia="맑은 고딕" w:hAnsi="맑은 고딕" w:cs="맑은 고딕"/>
      </w:rPr>
    </w:lvl>
    <w:lvl w:ilvl="1">
      <w:start w:val="1"/>
      <w:numFmt w:val="bullet"/>
      <w:lvlText w:val="■"/>
      <w:lvlJc w:val="left"/>
      <w:pPr>
        <w:ind w:left="1200" w:hanging="400"/>
      </w:pPr>
      <w:rPr>
        <w:rFonts w:ascii="Noto Sans Symbols" w:eastAsia="Noto Sans Symbols" w:hAnsi="Noto Sans Symbols" w:cs="Noto Sans Symbols"/>
      </w:rPr>
    </w:lvl>
    <w:lvl w:ilvl="2">
      <w:start w:val="1"/>
      <w:numFmt w:val="bullet"/>
      <w:lvlText w:val="◆"/>
      <w:lvlJc w:val="left"/>
      <w:pPr>
        <w:ind w:left="1600" w:hanging="400"/>
      </w:pPr>
      <w:rPr>
        <w:rFonts w:ascii="Noto Sans Symbols" w:eastAsia="Noto Sans Symbols" w:hAnsi="Noto Sans Symbols" w:cs="Noto Sans Symbols"/>
      </w:rPr>
    </w:lvl>
    <w:lvl w:ilvl="3">
      <w:start w:val="1"/>
      <w:numFmt w:val="bullet"/>
      <w:lvlText w:val="●"/>
      <w:lvlJc w:val="left"/>
      <w:pPr>
        <w:ind w:left="2000" w:hanging="400"/>
      </w:pPr>
      <w:rPr>
        <w:rFonts w:ascii="Noto Sans Symbols" w:eastAsia="Noto Sans Symbols" w:hAnsi="Noto Sans Symbols" w:cs="Noto Sans Symbols"/>
      </w:rPr>
    </w:lvl>
    <w:lvl w:ilvl="4">
      <w:start w:val="1"/>
      <w:numFmt w:val="bullet"/>
      <w:lvlText w:val="■"/>
      <w:lvlJc w:val="left"/>
      <w:pPr>
        <w:ind w:left="2400" w:hanging="400"/>
      </w:pPr>
      <w:rPr>
        <w:rFonts w:ascii="Noto Sans Symbols" w:eastAsia="Noto Sans Symbols" w:hAnsi="Noto Sans Symbols" w:cs="Noto Sans Symbols"/>
      </w:rPr>
    </w:lvl>
    <w:lvl w:ilvl="5">
      <w:start w:val="1"/>
      <w:numFmt w:val="bullet"/>
      <w:lvlText w:val="◆"/>
      <w:lvlJc w:val="left"/>
      <w:pPr>
        <w:ind w:left="2800" w:hanging="400"/>
      </w:pPr>
      <w:rPr>
        <w:rFonts w:ascii="Noto Sans Symbols" w:eastAsia="Noto Sans Symbols" w:hAnsi="Noto Sans Symbols" w:cs="Noto Sans Symbols"/>
      </w:rPr>
    </w:lvl>
    <w:lvl w:ilvl="6">
      <w:start w:val="1"/>
      <w:numFmt w:val="bullet"/>
      <w:lvlText w:val="●"/>
      <w:lvlJc w:val="left"/>
      <w:pPr>
        <w:ind w:left="3200" w:hanging="400"/>
      </w:pPr>
      <w:rPr>
        <w:rFonts w:ascii="Noto Sans Symbols" w:eastAsia="Noto Sans Symbols" w:hAnsi="Noto Sans Symbols" w:cs="Noto Sans Symbols"/>
      </w:rPr>
    </w:lvl>
    <w:lvl w:ilvl="7">
      <w:start w:val="1"/>
      <w:numFmt w:val="bullet"/>
      <w:lvlText w:val="■"/>
      <w:lvlJc w:val="left"/>
      <w:pPr>
        <w:ind w:left="3600" w:hanging="400"/>
      </w:pPr>
      <w:rPr>
        <w:rFonts w:ascii="Noto Sans Symbols" w:eastAsia="Noto Sans Symbols" w:hAnsi="Noto Sans Symbols" w:cs="Noto Sans Symbols"/>
      </w:rPr>
    </w:lvl>
    <w:lvl w:ilvl="8">
      <w:start w:val="1"/>
      <w:numFmt w:val="bullet"/>
      <w:lvlText w:val="◆"/>
      <w:lvlJc w:val="left"/>
      <w:pPr>
        <w:ind w:left="4000" w:hanging="400"/>
      </w:pPr>
      <w:rPr>
        <w:rFonts w:ascii="Noto Sans Symbols" w:eastAsia="Noto Sans Symbols" w:hAnsi="Noto Sans Symbols" w:cs="Noto Sans Symbol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TrueTypeFonts/>
  <w:bordersDoNotSurroundHeader/>
  <w:bordersDoNotSurroundFooter/>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A54B2"/>
    <w:rsid w:val="001A4CF2"/>
    <w:rsid w:val="00323FB9"/>
    <w:rsid w:val="003F786D"/>
    <w:rsid w:val="00AA54B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BF9BB9C"/>
  <w15:docId w15:val="{3DFFEBBB-B953-478B-931C-496F1C1BCB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맑은 고딕" w:eastAsia="맑은 고딕" w:hAnsi="맑은 고딕" w:cs="맑은 고딕"/>
        <w:lang w:val="en" w:eastAsia="ko-KR" w:bidi="ar-SA"/>
      </w:rPr>
    </w:rPrDefault>
    <w:pPrDefault>
      <w:pPr>
        <w:widowControl w:val="0"/>
        <w:spacing w:after="160" w:line="259"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uiPriority w:val="9"/>
    <w:qFormat/>
    <w:pPr>
      <w:keepNext/>
      <w:keepLines/>
      <w:spacing w:before="480" w:after="120"/>
      <w:outlineLvl w:val="0"/>
    </w:pPr>
    <w:rPr>
      <w:b/>
      <w:bCs/>
      <w:sz w:val="48"/>
      <w:szCs w:val="48"/>
    </w:rPr>
  </w:style>
  <w:style w:type="paragraph" w:styleId="2">
    <w:name w:val="heading 2"/>
    <w:basedOn w:val="a"/>
    <w:next w:val="a"/>
    <w:uiPriority w:val="9"/>
    <w:semiHidden/>
    <w:unhideWhenUsed/>
    <w:qFormat/>
    <w:pPr>
      <w:keepNext/>
      <w:keepLines/>
      <w:spacing w:before="360" w:after="80"/>
      <w:outlineLvl w:val="1"/>
    </w:pPr>
    <w:rPr>
      <w:b/>
      <w:bCs/>
      <w:sz w:val="36"/>
      <w:szCs w:val="36"/>
    </w:rPr>
  </w:style>
  <w:style w:type="paragraph" w:styleId="3">
    <w:name w:val="heading 3"/>
    <w:basedOn w:val="a"/>
    <w:next w:val="a"/>
    <w:uiPriority w:val="9"/>
    <w:semiHidden/>
    <w:unhideWhenUsed/>
    <w:qFormat/>
    <w:pPr>
      <w:keepNext/>
      <w:keepLines/>
      <w:spacing w:before="280" w:after="80"/>
      <w:outlineLvl w:val="2"/>
    </w:pPr>
    <w:rPr>
      <w:b/>
      <w:bCs/>
      <w:sz w:val="28"/>
      <w:szCs w:val="28"/>
    </w:rPr>
  </w:style>
  <w:style w:type="paragraph" w:styleId="4">
    <w:name w:val="heading 4"/>
    <w:basedOn w:val="a"/>
    <w:next w:val="a"/>
    <w:uiPriority w:val="9"/>
    <w:semiHidden/>
    <w:unhideWhenUsed/>
    <w:qFormat/>
    <w:pPr>
      <w:keepNext/>
      <w:keepLines/>
      <w:spacing w:before="240" w:after="40"/>
      <w:outlineLvl w:val="3"/>
    </w:pPr>
    <w:rPr>
      <w:b/>
      <w:bCs/>
      <w:sz w:val="24"/>
      <w:szCs w:val="24"/>
    </w:rPr>
  </w:style>
  <w:style w:type="paragraph" w:styleId="5">
    <w:name w:val="heading 5"/>
    <w:basedOn w:val="a"/>
    <w:next w:val="a"/>
    <w:uiPriority w:val="9"/>
    <w:semiHidden/>
    <w:unhideWhenUsed/>
    <w:qFormat/>
    <w:pPr>
      <w:keepNext/>
      <w:keepLines/>
      <w:spacing w:before="220" w:after="40"/>
      <w:outlineLvl w:val="4"/>
    </w:pPr>
    <w:rPr>
      <w:b/>
      <w:bCs/>
      <w:sz w:val="22"/>
      <w:szCs w:val="22"/>
    </w:rPr>
  </w:style>
  <w:style w:type="paragraph" w:styleId="6">
    <w:name w:val="heading 6"/>
    <w:basedOn w:val="a"/>
    <w:next w:val="a"/>
    <w:uiPriority w:val="9"/>
    <w:semiHidden/>
    <w:unhideWhenUsed/>
    <w:qFormat/>
    <w:pPr>
      <w:keepNext/>
      <w:keepLines/>
      <w:spacing w:before="200" w:after="40"/>
      <w:outlineLvl w:val="5"/>
    </w:pPr>
    <w:rPr>
      <w:b/>
      <w:b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a3">
    <w:name w:val="Title"/>
    <w:basedOn w:val="a"/>
    <w:next w:val="a"/>
    <w:uiPriority w:val="10"/>
    <w:qFormat/>
    <w:pPr>
      <w:keepNext/>
      <w:keepLines/>
      <w:spacing w:before="480" w:after="120"/>
    </w:pPr>
    <w:rPr>
      <w:b/>
      <w:bCs/>
      <w:sz w:val="72"/>
      <w:szCs w:val="72"/>
    </w:rPr>
  </w:style>
  <w:style w:type="paragraph" w:styleId="a4">
    <w:name w:val="Subtitle"/>
    <w:basedOn w:val="a"/>
    <w:next w:val="a"/>
    <w:uiPriority w:val="11"/>
    <w:qFormat/>
    <w:pPr>
      <w:keepNext/>
      <w:keepLines/>
      <w:spacing w:before="360" w:after="80"/>
    </w:pPr>
    <w:rPr>
      <w:rFonts w:ascii="Georgia" w:eastAsia="Georgia" w:hAnsi="Georgia" w:cs="Georgia"/>
      <w:i/>
      <w:iCs/>
      <w:color w:val="666666"/>
      <w:sz w:val="48"/>
      <w:szCs w:val="48"/>
    </w:rPr>
  </w:style>
  <w:style w:type="table" w:customStyle="1" w:styleId="a5">
    <w:basedOn w:val="TableNormal"/>
    <w:tblPr>
      <w:tblStyleRowBandSize w:val="1"/>
      <w:tblStyleColBandSize w:val="1"/>
      <w:tblCellMar>
        <w:top w:w="0" w:type="dxa"/>
        <w:left w:w="115" w:type="dxa"/>
        <w:bottom w:w="0" w:type="dxa"/>
        <w:right w:w="115" w:type="dxa"/>
      </w:tblCellMar>
    </w:tblPr>
  </w:style>
  <w:style w:type="table" w:customStyle="1" w:styleId="a6">
    <w:basedOn w:val="TableNormal"/>
    <w:tblPr>
      <w:tblStyleRowBandSize w:val="1"/>
      <w:tblStyleColBandSize w:val="1"/>
    </w:tblPr>
  </w:style>
  <w:style w:type="paragraph" w:styleId="a7">
    <w:name w:val="header"/>
    <w:basedOn w:val="a"/>
    <w:link w:val="Char"/>
    <w:uiPriority w:val="99"/>
    <w:unhideWhenUsed/>
    <w:rsid w:val="00323FB9"/>
    <w:pPr>
      <w:tabs>
        <w:tab w:val="center" w:pos="4513"/>
        <w:tab w:val="right" w:pos="9026"/>
      </w:tabs>
      <w:snapToGrid w:val="0"/>
    </w:pPr>
  </w:style>
  <w:style w:type="character" w:customStyle="1" w:styleId="Char">
    <w:name w:val="머리글 Char"/>
    <w:basedOn w:val="a0"/>
    <w:link w:val="a7"/>
    <w:uiPriority w:val="99"/>
    <w:rsid w:val="00323FB9"/>
  </w:style>
  <w:style w:type="paragraph" w:styleId="a8">
    <w:name w:val="footer"/>
    <w:basedOn w:val="a"/>
    <w:link w:val="Char0"/>
    <w:uiPriority w:val="99"/>
    <w:unhideWhenUsed/>
    <w:rsid w:val="00323FB9"/>
    <w:pPr>
      <w:tabs>
        <w:tab w:val="center" w:pos="4513"/>
        <w:tab w:val="right" w:pos="9026"/>
      </w:tabs>
      <w:snapToGrid w:val="0"/>
    </w:pPr>
  </w:style>
  <w:style w:type="character" w:customStyle="1" w:styleId="Char0">
    <w:name w:val="바닥글 Char"/>
    <w:basedOn w:val="a0"/>
    <w:link w:val="a8"/>
    <w:uiPriority w:val="99"/>
    <w:rsid w:val="00323FB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s://sites.google.com/view/hyoungkang" TargetMode="External"/><Relationship Id="rId3" Type="http://schemas.openxmlformats.org/officeDocument/2006/relationships/settings" Target="settings.xml"/><Relationship Id="rId7" Type="http://schemas.openxmlformats.org/officeDocument/2006/relationships/hyperlink" Target="mailto:hyoungkang@hanyang.ac.kr"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797</Words>
  <Characters>4544</Characters>
  <Application>Microsoft Office Word</Application>
  <DocSecurity>0</DocSecurity>
  <Lines>37</Lines>
  <Paragraphs>10</Paragraphs>
  <ScaleCrop>false</ScaleCrop>
  <Company/>
  <LinksUpToDate>false</LinksUpToDate>
  <CharactersWithSpaces>5331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노상욱</cp:lastModifiedBy>
  <cp:revision>3</cp:revision>
  <dcterms:created xsi:type="dcterms:W3CDTF">2026-04-01T05:26:00Z</dcterms:created>
  <dcterms:modified xsi:type="dcterms:W3CDTF">2026-04-29T02:27:00Z</dcterms:modified>
</cp:coreProperties>
</file>