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596D9" w14:textId="77777777" w:rsidR="00AA54B2" w:rsidRDefault="00AA54B2">
      <w:pPr>
        <w:pBdr>
          <w:top w:val="nil"/>
          <w:left w:val="nil"/>
          <w:bottom w:val="nil"/>
          <w:right w:val="nil"/>
          <w:between w:val="nil"/>
        </w:pBdr>
        <w:spacing w:after="0" w:line="276" w:lineRule="auto"/>
        <w:jc w:val="left"/>
        <w:rPr>
          <w:rFonts w:ascii="Arial" w:eastAsia="Arial" w:hAnsi="Arial" w:cs="Arial"/>
          <w:color w:val="000000"/>
          <w:sz w:val="22"/>
          <w:szCs w:val="22"/>
        </w:rPr>
      </w:pPr>
    </w:p>
    <w:tbl>
      <w:tblPr>
        <w:tblStyle w:val="a5"/>
        <w:tblW w:w="1053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5"/>
        <w:gridCol w:w="2169"/>
        <w:gridCol w:w="2104"/>
        <w:gridCol w:w="1568"/>
        <w:gridCol w:w="804"/>
        <w:gridCol w:w="881"/>
        <w:gridCol w:w="944"/>
        <w:gridCol w:w="536"/>
      </w:tblGrid>
      <w:tr w:rsidR="00AA54B2" w14:paraId="62166895" w14:textId="77777777">
        <w:trPr>
          <w:trHeight w:val="397"/>
          <w:jc w:val="center"/>
        </w:trPr>
        <w:tc>
          <w:tcPr>
            <w:tcW w:w="1524" w:type="dxa"/>
            <w:vMerge w:val="restart"/>
            <w:shd w:val="clear" w:color="auto" w:fill="D9D9D9"/>
            <w:vAlign w:val="center"/>
          </w:tcPr>
          <w:p w14:paraId="4188ED88" w14:textId="77777777" w:rsidR="00AA54B2" w:rsidRDefault="00323FB9">
            <w:pPr>
              <w:pBdr>
                <w:top w:val="nil"/>
                <w:left w:val="nil"/>
                <w:bottom w:val="nil"/>
                <w:right w:val="nil"/>
                <w:between w:val="nil"/>
              </w:pBdr>
              <w:spacing w:after="0" w:line="240" w:lineRule="auto"/>
              <w:rPr>
                <w:b/>
                <w:bCs/>
                <w:color w:val="000000"/>
              </w:rPr>
            </w:pPr>
            <w:r>
              <w:rPr>
                <w:b/>
                <w:bCs/>
                <w:color w:val="000000"/>
              </w:rPr>
              <w:t>Faculty Information</w:t>
            </w:r>
          </w:p>
        </w:tc>
        <w:tc>
          <w:tcPr>
            <w:tcW w:w="2167" w:type="dxa"/>
            <w:shd w:val="clear" w:color="auto" w:fill="EDEDED"/>
            <w:vAlign w:val="center"/>
          </w:tcPr>
          <w:p w14:paraId="3D0D470F"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Name</w:t>
            </w:r>
          </w:p>
        </w:tc>
        <w:tc>
          <w:tcPr>
            <w:tcW w:w="6831" w:type="dxa"/>
            <w:gridSpan w:val="6"/>
            <w:shd w:val="clear" w:color="auto" w:fill="auto"/>
          </w:tcPr>
          <w:p w14:paraId="416BDD52" w14:textId="77777777" w:rsidR="00AA54B2" w:rsidRDefault="00323FB9">
            <w:pPr>
              <w:spacing w:after="0" w:line="240" w:lineRule="auto"/>
            </w:pPr>
            <w:r>
              <w:rPr>
                <w:rFonts w:ascii="Times New Roman" w:eastAsia="Times New Roman" w:hAnsi="Times New Roman" w:cs="Times New Roman"/>
              </w:rPr>
              <w:t>Hyoung-Goo Kang</w:t>
            </w:r>
          </w:p>
        </w:tc>
      </w:tr>
      <w:tr w:rsidR="00AA54B2" w14:paraId="510A5736" w14:textId="77777777">
        <w:trPr>
          <w:trHeight w:val="397"/>
          <w:jc w:val="center"/>
        </w:trPr>
        <w:tc>
          <w:tcPr>
            <w:tcW w:w="1524" w:type="dxa"/>
            <w:vMerge/>
            <w:shd w:val="clear" w:color="auto" w:fill="D9D9D9"/>
            <w:vAlign w:val="center"/>
          </w:tcPr>
          <w:p w14:paraId="10B6F526"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55E75E30"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E-mail</w:t>
            </w:r>
          </w:p>
        </w:tc>
        <w:tc>
          <w:tcPr>
            <w:tcW w:w="6831" w:type="dxa"/>
            <w:gridSpan w:val="6"/>
            <w:shd w:val="clear" w:color="auto" w:fill="auto"/>
          </w:tcPr>
          <w:p w14:paraId="281537CC" w14:textId="77777777" w:rsidR="00AA54B2" w:rsidRDefault="00323FB9">
            <w:pPr>
              <w:spacing w:after="0" w:line="240" w:lineRule="auto"/>
            </w:pPr>
            <w:hyperlink r:id="rId7">
              <w:r>
                <w:rPr>
                  <w:rFonts w:ascii="Times New Roman" w:eastAsia="Times New Roman" w:hAnsi="Times New Roman" w:cs="Times New Roman"/>
                  <w:color w:val="1155CC"/>
                  <w:u w:val="single"/>
                </w:rPr>
                <w:t>hyoungkang@hanyang.ac.kr</w:t>
              </w:r>
            </w:hyperlink>
            <w:r>
              <w:rPr>
                <w:rFonts w:ascii="Times New Roman" w:eastAsia="Times New Roman" w:hAnsi="Times New Roman" w:cs="Times New Roman"/>
              </w:rPr>
              <w:t xml:space="preserve"> </w:t>
            </w:r>
          </w:p>
        </w:tc>
      </w:tr>
      <w:tr w:rsidR="00AA54B2" w14:paraId="292D7499" w14:textId="77777777">
        <w:trPr>
          <w:trHeight w:val="397"/>
          <w:jc w:val="center"/>
        </w:trPr>
        <w:tc>
          <w:tcPr>
            <w:tcW w:w="1524" w:type="dxa"/>
            <w:vMerge/>
            <w:shd w:val="clear" w:color="auto" w:fill="D9D9D9"/>
            <w:vAlign w:val="center"/>
          </w:tcPr>
          <w:p w14:paraId="14C0A51C"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3D8AEBA1"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Home University</w:t>
            </w:r>
          </w:p>
        </w:tc>
        <w:tc>
          <w:tcPr>
            <w:tcW w:w="6831" w:type="dxa"/>
            <w:gridSpan w:val="6"/>
            <w:shd w:val="clear" w:color="auto" w:fill="auto"/>
          </w:tcPr>
          <w:p w14:paraId="157E4BC5" w14:textId="77777777" w:rsidR="00AA54B2" w:rsidRDefault="00323FB9">
            <w:pPr>
              <w:spacing w:after="0" w:line="240" w:lineRule="auto"/>
            </w:pPr>
            <w:r>
              <w:rPr>
                <w:rFonts w:ascii="Times New Roman" w:eastAsia="Times New Roman" w:hAnsi="Times New Roman" w:cs="Times New Roman"/>
              </w:rPr>
              <w:t>Hanyang University</w:t>
            </w:r>
          </w:p>
        </w:tc>
      </w:tr>
      <w:tr w:rsidR="00AA54B2" w14:paraId="67B909B4" w14:textId="77777777">
        <w:trPr>
          <w:trHeight w:val="397"/>
          <w:jc w:val="center"/>
        </w:trPr>
        <w:tc>
          <w:tcPr>
            <w:tcW w:w="1524" w:type="dxa"/>
            <w:vMerge/>
            <w:shd w:val="clear" w:color="auto" w:fill="D9D9D9"/>
            <w:vAlign w:val="center"/>
          </w:tcPr>
          <w:p w14:paraId="4FDED59E"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32B5E58B"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Department</w:t>
            </w:r>
          </w:p>
        </w:tc>
        <w:tc>
          <w:tcPr>
            <w:tcW w:w="6831" w:type="dxa"/>
            <w:gridSpan w:val="6"/>
            <w:shd w:val="clear" w:color="auto" w:fill="auto"/>
          </w:tcPr>
          <w:p w14:paraId="0733C27E" w14:textId="77777777" w:rsidR="00AA54B2" w:rsidRDefault="00323FB9">
            <w:pPr>
              <w:spacing w:after="0" w:line="240" w:lineRule="auto"/>
            </w:pPr>
            <w:r>
              <w:rPr>
                <w:rFonts w:ascii="Times New Roman" w:eastAsia="Times New Roman" w:hAnsi="Times New Roman" w:cs="Times New Roman"/>
              </w:rPr>
              <w:t>Department of Finance</w:t>
            </w:r>
          </w:p>
        </w:tc>
      </w:tr>
      <w:tr w:rsidR="00AA54B2" w14:paraId="610E40A4" w14:textId="77777777">
        <w:trPr>
          <w:trHeight w:val="397"/>
          <w:jc w:val="center"/>
        </w:trPr>
        <w:tc>
          <w:tcPr>
            <w:tcW w:w="1524" w:type="dxa"/>
            <w:vMerge/>
            <w:shd w:val="clear" w:color="auto" w:fill="D9D9D9"/>
            <w:vAlign w:val="center"/>
          </w:tcPr>
          <w:p w14:paraId="40B6257E"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6C92A37"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Homepage</w:t>
            </w:r>
          </w:p>
        </w:tc>
        <w:tc>
          <w:tcPr>
            <w:tcW w:w="6831" w:type="dxa"/>
            <w:gridSpan w:val="6"/>
            <w:shd w:val="clear" w:color="auto" w:fill="auto"/>
          </w:tcPr>
          <w:p w14:paraId="0E6558D9" w14:textId="77777777" w:rsidR="00AA54B2" w:rsidRDefault="00323FB9">
            <w:pPr>
              <w:spacing w:after="0" w:line="240" w:lineRule="auto"/>
            </w:pPr>
            <w:hyperlink r:id="rId8">
              <w:r>
                <w:rPr>
                  <w:rFonts w:ascii="Times New Roman" w:eastAsia="Times New Roman" w:hAnsi="Times New Roman" w:cs="Times New Roman"/>
                  <w:color w:val="1155CC"/>
                  <w:u w:val="single"/>
                </w:rPr>
                <w:t>https://sites.google.com/view/hyoungkang</w:t>
              </w:r>
            </w:hyperlink>
            <w:r>
              <w:rPr>
                <w:rFonts w:ascii="Times New Roman" w:eastAsia="Times New Roman" w:hAnsi="Times New Roman" w:cs="Times New Roman"/>
              </w:rPr>
              <w:t xml:space="preserve"> </w:t>
            </w:r>
          </w:p>
        </w:tc>
      </w:tr>
      <w:tr w:rsidR="00AA54B2" w14:paraId="46180D03" w14:textId="77777777">
        <w:trPr>
          <w:trHeight w:val="397"/>
          <w:jc w:val="center"/>
        </w:trPr>
        <w:tc>
          <w:tcPr>
            <w:tcW w:w="1524" w:type="dxa"/>
            <w:vMerge w:val="restart"/>
            <w:shd w:val="clear" w:color="auto" w:fill="D9D9D9"/>
            <w:vAlign w:val="center"/>
          </w:tcPr>
          <w:p w14:paraId="7AD2BC2D" w14:textId="77777777" w:rsidR="00AA54B2" w:rsidRDefault="00323FB9">
            <w:pPr>
              <w:pBdr>
                <w:top w:val="nil"/>
                <w:left w:val="nil"/>
                <w:bottom w:val="nil"/>
                <w:right w:val="nil"/>
                <w:between w:val="nil"/>
              </w:pBdr>
              <w:spacing w:after="0" w:line="240" w:lineRule="auto"/>
              <w:rPr>
                <w:b/>
                <w:bCs/>
                <w:color w:val="000000"/>
              </w:rPr>
            </w:pPr>
            <w:r>
              <w:rPr>
                <w:b/>
                <w:bCs/>
                <w:color w:val="000000"/>
              </w:rPr>
              <w:t>Course Information</w:t>
            </w:r>
          </w:p>
        </w:tc>
        <w:tc>
          <w:tcPr>
            <w:tcW w:w="2167" w:type="dxa"/>
            <w:shd w:val="clear" w:color="auto" w:fill="EDEDED"/>
            <w:vAlign w:val="center"/>
          </w:tcPr>
          <w:p w14:paraId="0189FA12"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Class No.</w:t>
            </w:r>
          </w:p>
        </w:tc>
        <w:tc>
          <w:tcPr>
            <w:tcW w:w="2102" w:type="dxa"/>
            <w:shd w:val="clear" w:color="auto" w:fill="auto"/>
          </w:tcPr>
          <w:p w14:paraId="254B316C" w14:textId="77777777" w:rsidR="00AA54B2" w:rsidRDefault="00323FB9">
            <w:pPr>
              <w:spacing w:after="0" w:line="240" w:lineRule="auto"/>
              <w:jc w:val="center"/>
            </w:pPr>
            <w:r>
              <w:t>ISS1203</w:t>
            </w:r>
          </w:p>
        </w:tc>
        <w:tc>
          <w:tcPr>
            <w:tcW w:w="1567" w:type="dxa"/>
            <w:shd w:val="clear" w:color="auto" w:fill="EDEDED"/>
            <w:vAlign w:val="center"/>
          </w:tcPr>
          <w:p w14:paraId="50B3CE82" w14:textId="77777777" w:rsidR="00AA54B2" w:rsidRDefault="00323FB9">
            <w:pPr>
              <w:spacing w:after="0" w:line="240" w:lineRule="auto"/>
              <w:jc w:val="center"/>
              <w:rPr>
                <w:b/>
                <w:bCs/>
              </w:rPr>
            </w:pPr>
            <w:r>
              <w:rPr>
                <w:b/>
                <w:bCs/>
              </w:rPr>
              <w:t>Course Code</w:t>
            </w:r>
          </w:p>
        </w:tc>
        <w:tc>
          <w:tcPr>
            <w:tcW w:w="1683" w:type="dxa"/>
            <w:gridSpan w:val="2"/>
            <w:shd w:val="clear" w:color="auto" w:fill="auto"/>
          </w:tcPr>
          <w:p w14:paraId="1D062124" w14:textId="2106942A" w:rsidR="00AA54B2" w:rsidRDefault="00323FB9" w:rsidP="00323FB9">
            <w:pPr>
              <w:spacing w:after="0" w:line="240" w:lineRule="auto"/>
              <w:rPr>
                <w:rFonts w:hint="eastAsia"/>
              </w:rPr>
            </w:pPr>
            <w:r>
              <w:rPr>
                <w:rFonts w:hint="eastAsia"/>
              </w:rPr>
              <w:t>I</w:t>
            </w:r>
            <w:r>
              <w:t>SS1203</w:t>
            </w:r>
          </w:p>
        </w:tc>
        <w:tc>
          <w:tcPr>
            <w:tcW w:w="943" w:type="dxa"/>
            <w:shd w:val="clear" w:color="auto" w:fill="EDEDED"/>
            <w:vAlign w:val="center"/>
          </w:tcPr>
          <w:p w14:paraId="0F321E06" w14:textId="77777777" w:rsidR="00AA54B2" w:rsidRDefault="00323FB9">
            <w:pPr>
              <w:spacing w:after="0" w:line="240" w:lineRule="auto"/>
              <w:jc w:val="center"/>
              <w:rPr>
                <w:b/>
                <w:bCs/>
              </w:rPr>
            </w:pPr>
            <w:r>
              <w:rPr>
                <w:b/>
                <w:bCs/>
              </w:rPr>
              <w:t>Credits</w:t>
            </w:r>
          </w:p>
        </w:tc>
        <w:tc>
          <w:tcPr>
            <w:tcW w:w="536" w:type="dxa"/>
            <w:shd w:val="clear" w:color="auto" w:fill="auto"/>
            <w:vAlign w:val="center"/>
          </w:tcPr>
          <w:p w14:paraId="10B68BA6" w14:textId="77777777" w:rsidR="00AA54B2" w:rsidRDefault="00323FB9">
            <w:pPr>
              <w:spacing w:after="0" w:line="240" w:lineRule="auto"/>
              <w:jc w:val="center"/>
            </w:pPr>
            <w:r>
              <w:t>3</w:t>
            </w:r>
          </w:p>
        </w:tc>
      </w:tr>
      <w:tr w:rsidR="00AA54B2" w14:paraId="08295492" w14:textId="77777777">
        <w:trPr>
          <w:trHeight w:val="397"/>
          <w:jc w:val="center"/>
        </w:trPr>
        <w:tc>
          <w:tcPr>
            <w:tcW w:w="1524" w:type="dxa"/>
            <w:vMerge/>
            <w:shd w:val="clear" w:color="auto" w:fill="D9D9D9"/>
            <w:vAlign w:val="center"/>
          </w:tcPr>
          <w:p w14:paraId="23B7FE4A"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64A31A52"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Course Name</w:t>
            </w:r>
          </w:p>
        </w:tc>
        <w:tc>
          <w:tcPr>
            <w:tcW w:w="6831" w:type="dxa"/>
            <w:gridSpan w:val="6"/>
            <w:shd w:val="clear" w:color="auto" w:fill="auto"/>
          </w:tcPr>
          <w:p w14:paraId="6035B9E4" w14:textId="77777777" w:rsidR="00AA54B2" w:rsidRDefault="00323FB9">
            <w:pPr>
              <w:spacing w:after="0" w:line="240" w:lineRule="auto"/>
              <w:jc w:val="center"/>
            </w:pPr>
            <w:r>
              <w:rPr>
                <w:rFonts w:ascii="Times New Roman" w:eastAsia="Times New Roman" w:hAnsi="Times New Roman" w:cs="Times New Roman"/>
              </w:rPr>
              <w:t>Culture, Content, Creative Industry and Financial Strategies</w:t>
            </w:r>
          </w:p>
        </w:tc>
      </w:tr>
      <w:tr w:rsidR="00AA54B2" w14:paraId="3E9E35C6" w14:textId="77777777">
        <w:trPr>
          <w:trHeight w:val="397"/>
          <w:jc w:val="center"/>
        </w:trPr>
        <w:tc>
          <w:tcPr>
            <w:tcW w:w="1524" w:type="dxa"/>
            <w:vMerge/>
            <w:shd w:val="clear" w:color="auto" w:fill="D9D9D9"/>
            <w:vAlign w:val="center"/>
          </w:tcPr>
          <w:p w14:paraId="349E185E"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301991E3"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Lecture Schedule</w:t>
            </w:r>
          </w:p>
        </w:tc>
        <w:tc>
          <w:tcPr>
            <w:tcW w:w="6831" w:type="dxa"/>
            <w:gridSpan w:val="6"/>
            <w:shd w:val="clear" w:color="auto" w:fill="auto"/>
          </w:tcPr>
          <w:p w14:paraId="5FFE6CBB" w14:textId="77777777" w:rsidR="00AA54B2" w:rsidRDefault="00323FB9">
            <w:pPr>
              <w:pBdr>
                <w:top w:val="nil"/>
                <w:left w:val="nil"/>
                <w:bottom w:val="nil"/>
                <w:right w:val="nil"/>
                <w:between w:val="nil"/>
              </w:pBdr>
              <w:spacing w:after="0" w:line="240" w:lineRule="auto"/>
              <w:jc w:val="center"/>
              <w:rPr>
                <w:color w:val="000000"/>
              </w:rPr>
            </w:pPr>
            <w:r>
              <w:rPr>
                <w:color w:val="000000"/>
              </w:rPr>
              <w:t>Monday-Saturday / 13:00~16:00</w:t>
            </w:r>
          </w:p>
        </w:tc>
      </w:tr>
      <w:tr w:rsidR="00AA54B2" w14:paraId="44599263" w14:textId="77777777">
        <w:trPr>
          <w:trHeight w:val="964"/>
          <w:jc w:val="center"/>
        </w:trPr>
        <w:tc>
          <w:tcPr>
            <w:tcW w:w="1524" w:type="dxa"/>
            <w:vMerge/>
            <w:shd w:val="clear" w:color="auto" w:fill="D9D9D9"/>
            <w:vAlign w:val="center"/>
          </w:tcPr>
          <w:p w14:paraId="5681BFB9"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4AA51165" w14:textId="77777777" w:rsidR="00AA54B2" w:rsidRDefault="00323FB9">
            <w:pPr>
              <w:spacing w:after="0" w:line="240" w:lineRule="auto"/>
              <w:jc w:val="center"/>
              <w:rPr>
                <w:b/>
                <w:bCs/>
              </w:rPr>
            </w:pPr>
            <w:r>
              <w:rPr>
                <w:b/>
                <w:bCs/>
              </w:rPr>
              <w:t>Course Description</w:t>
            </w:r>
          </w:p>
        </w:tc>
        <w:tc>
          <w:tcPr>
            <w:tcW w:w="6831" w:type="dxa"/>
            <w:gridSpan w:val="6"/>
            <w:shd w:val="clear" w:color="auto" w:fill="auto"/>
          </w:tcPr>
          <w:p w14:paraId="39992CD4" w14:textId="77777777" w:rsidR="00AA54B2" w:rsidRDefault="00323FB9">
            <w:pPr>
              <w:spacing w:after="0" w:line="240" w:lineRule="auto"/>
              <w:jc w:val="left"/>
              <w:rPr>
                <w:rFonts w:ascii="Times New Roman" w:eastAsia="Times New Roman" w:hAnsi="Times New Roman" w:cs="Times New Roman"/>
              </w:rPr>
            </w:pPr>
            <w:r>
              <w:rPr>
                <w:rFonts w:ascii="Times New Roman" w:eastAsia="Times New Roman" w:hAnsi="Times New Roman" w:cs="Times New Roman"/>
              </w:rPr>
              <w:t>This course offers an interdisciplinary exploration of the dynamic intersection between cultural production, creative industries, and financial strategies. Students will engage with the principles and practices that drive the creation, distribution, and mo</w:t>
            </w:r>
            <w:r>
              <w:rPr>
                <w:rFonts w:ascii="Times New Roman" w:eastAsia="Times New Roman" w:hAnsi="Times New Roman" w:cs="Times New Roman"/>
              </w:rPr>
              <w:t>netization of cultural content within the global economy. The course emphasizes the role of innovation and entrepreneurship in the creative industries, analyzing how cultural content is shaped by and, in turn, shapes economic frameworks. By integrating the</w:t>
            </w:r>
            <w:r>
              <w:rPr>
                <w:rFonts w:ascii="Times New Roman" w:eastAsia="Times New Roman" w:hAnsi="Times New Roman" w:cs="Times New Roman"/>
              </w:rPr>
              <w:t>oretical insights with practical financial strategies, students will develop the skills to navigate and influence the evolving landscape of creative industries.</w:t>
            </w:r>
          </w:p>
        </w:tc>
      </w:tr>
      <w:tr w:rsidR="00AA54B2" w14:paraId="5EAAC7CB" w14:textId="77777777">
        <w:trPr>
          <w:trHeight w:val="964"/>
          <w:jc w:val="center"/>
        </w:trPr>
        <w:tc>
          <w:tcPr>
            <w:tcW w:w="1524" w:type="dxa"/>
            <w:vMerge/>
            <w:shd w:val="clear" w:color="auto" w:fill="D9D9D9"/>
            <w:vAlign w:val="center"/>
          </w:tcPr>
          <w:p w14:paraId="3B51C3D8"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4AD3142E"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Course Objective</w:t>
            </w:r>
          </w:p>
        </w:tc>
        <w:tc>
          <w:tcPr>
            <w:tcW w:w="6831" w:type="dxa"/>
            <w:gridSpan w:val="6"/>
            <w:shd w:val="clear" w:color="auto" w:fill="auto"/>
          </w:tcPr>
          <w:p w14:paraId="1EB9F2F8" w14:textId="77777777" w:rsidR="00AA54B2" w:rsidRDefault="00323FB9">
            <w:pPr>
              <w:spacing w:after="0" w:line="240" w:lineRule="auto"/>
              <w:jc w:val="left"/>
            </w:pPr>
            <w:r>
              <w:rPr>
                <w:rFonts w:ascii="Times New Roman" w:eastAsia="Times New Roman" w:hAnsi="Times New Roman" w:cs="Times New Roman"/>
              </w:rPr>
              <w:t>The objective of the course "Culture, Content, Creative Industry and Financial Strategies" is to equip students with a comprehensive understanding of the interrelations between cultural production, creative industries, and financial frameworks. Students wi</w:t>
            </w:r>
            <w:r>
              <w:rPr>
                <w:rFonts w:ascii="Times New Roman" w:eastAsia="Times New Roman" w:hAnsi="Times New Roman" w:cs="Times New Roman"/>
              </w:rPr>
              <w:t>ll learn to critically analyze and apply financial strategies within the context of creative enterprises, fostering their ability to innovate, manage, and lead in the global creative economy. By the end of the course, students will be able to develop and i</w:t>
            </w:r>
            <w:r>
              <w:rPr>
                <w:rFonts w:ascii="Times New Roman" w:eastAsia="Times New Roman" w:hAnsi="Times New Roman" w:cs="Times New Roman"/>
              </w:rPr>
              <w:t>mplement effective financial strategies that support sustainable growth and success in various sectors of the creative industries, while also understanding the cultural and economic impacts of their decisions.</w:t>
            </w:r>
          </w:p>
        </w:tc>
      </w:tr>
      <w:tr w:rsidR="00AA54B2" w14:paraId="1F2F8101" w14:textId="77777777">
        <w:trPr>
          <w:trHeight w:val="964"/>
          <w:jc w:val="center"/>
        </w:trPr>
        <w:tc>
          <w:tcPr>
            <w:tcW w:w="1524" w:type="dxa"/>
            <w:vMerge/>
            <w:shd w:val="clear" w:color="auto" w:fill="D9D9D9"/>
            <w:vAlign w:val="center"/>
          </w:tcPr>
          <w:p w14:paraId="58BF9D52"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4A03462E"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Prerequisite</w:t>
            </w:r>
          </w:p>
        </w:tc>
        <w:tc>
          <w:tcPr>
            <w:tcW w:w="6831" w:type="dxa"/>
            <w:gridSpan w:val="6"/>
            <w:shd w:val="clear" w:color="auto" w:fill="auto"/>
            <w:vAlign w:val="center"/>
          </w:tcPr>
          <w:p w14:paraId="7AA8220F" w14:textId="77777777" w:rsidR="00AA54B2" w:rsidRDefault="00323FB9">
            <w:pPr>
              <w:numPr>
                <w:ilvl w:val="0"/>
                <w:numId w:val="1"/>
              </w:numPr>
              <w:spacing w:after="0" w:line="240" w:lineRule="auto"/>
            </w:pPr>
            <w:r>
              <w:t>NA</w:t>
            </w:r>
          </w:p>
        </w:tc>
      </w:tr>
      <w:tr w:rsidR="00AA54B2" w14:paraId="6F4C88C8" w14:textId="77777777">
        <w:trPr>
          <w:trHeight w:val="964"/>
          <w:jc w:val="center"/>
        </w:trPr>
        <w:tc>
          <w:tcPr>
            <w:tcW w:w="1524" w:type="dxa"/>
            <w:vMerge/>
            <w:shd w:val="clear" w:color="auto" w:fill="D9D9D9"/>
            <w:vAlign w:val="center"/>
          </w:tcPr>
          <w:p w14:paraId="7C74B809"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4C525B6"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Materials/Textbooks</w:t>
            </w:r>
          </w:p>
        </w:tc>
        <w:tc>
          <w:tcPr>
            <w:tcW w:w="6831" w:type="dxa"/>
            <w:gridSpan w:val="6"/>
            <w:shd w:val="clear" w:color="auto" w:fill="auto"/>
            <w:vAlign w:val="center"/>
          </w:tcPr>
          <w:p w14:paraId="3A447515" w14:textId="77777777" w:rsidR="00AA54B2" w:rsidRDefault="00323FB9">
            <w:pPr>
              <w:spacing w:after="0" w:line="240" w:lineRule="auto"/>
            </w:pPr>
            <w:r>
              <w:t>Harvard Business Cases</w:t>
            </w:r>
          </w:p>
        </w:tc>
      </w:tr>
      <w:tr w:rsidR="00AA54B2" w14:paraId="75A53C7A" w14:textId="77777777">
        <w:trPr>
          <w:trHeight w:val="397"/>
          <w:jc w:val="center"/>
        </w:trPr>
        <w:tc>
          <w:tcPr>
            <w:tcW w:w="1524" w:type="dxa"/>
            <w:vMerge w:val="restart"/>
            <w:shd w:val="clear" w:color="auto" w:fill="D9D9D9"/>
            <w:vAlign w:val="center"/>
          </w:tcPr>
          <w:p w14:paraId="66285EE9" w14:textId="77777777" w:rsidR="00AA54B2" w:rsidRDefault="00323FB9">
            <w:pPr>
              <w:pBdr>
                <w:top w:val="nil"/>
                <w:left w:val="nil"/>
                <w:bottom w:val="nil"/>
                <w:right w:val="nil"/>
                <w:between w:val="nil"/>
              </w:pBdr>
              <w:spacing w:after="0" w:line="240" w:lineRule="auto"/>
              <w:rPr>
                <w:b/>
                <w:bCs/>
                <w:color w:val="000000"/>
              </w:rPr>
            </w:pPr>
            <w:r>
              <w:rPr>
                <w:b/>
                <w:bCs/>
                <w:color w:val="000000"/>
              </w:rPr>
              <w:t>Evaluation</w:t>
            </w:r>
          </w:p>
        </w:tc>
        <w:tc>
          <w:tcPr>
            <w:tcW w:w="2167" w:type="dxa"/>
            <w:shd w:val="clear" w:color="auto" w:fill="EDEDED"/>
            <w:vAlign w:val="center"/>
          </w:tcPr>
          <w:p w14:paraId="35CDED08"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Attendance</w:t>
            </w:r>
          </w:p>
        </w:tc>
        <w:tc>
          <w:tcPr>
            <w:tcW w:w="2102" w:type="dxa"/>
            <w:shd w:val="clear" w:color="auto" w:fill="auto"/>
          </w:tcPr>
          <w:p w14:paraId="380B2453" w14:textId="77777777" w:rsidR="00AA54B2" w:rsidRDefault="00323FB9">
            <w:pPr>
              <w:spacing w:after="0" w:line="240" w:lineRule="auto"/>
              <w:jc w:val="right"/>
            </w:pPr>
            <w:r>
              <w:t>20%</w:t>
            </w:r>
          </w:p>
        </w:tc>
        <w:tc>
          <w:tcPr>
            <w:tcW w:w="2370" w:type="dxa"/>
            <w:gridSpan w:val="2"/>
            <w:shd w:val="clear" w:color="auto" w:fill="EDEDED"/>
            <w:vAlign w:val="center"/>
          </w:tcPr>
          <w:p w14:paraId="1E7D4485" w14:textId="77777777" w:rsidR="00AA54B2" w:rsidRDefault="00323FB9">
            <w:pPr>
              <w:spacing w:after="0" w:line="240" w:lineRule="auto"/>
              <w:jc w:val="center"/>
              <w:rPr>
                <w:b/>
                <w:bCs/>
              </w:rPr>
            </w:pPr>
            <w:r>
              <w:rPr>
                <w:b/>
                <w:bCs/>
              </w:rPr>
              <w:t>Quiz</w:t>
            </w:r>
          </w:p>
        </w:tc>
        <w:tc>
          <w:tcPr>
            <w:tcW w:w="2359" w:type="dxa"/>
            <w:gridSpan w:val="3"/>
            <w:shd w:val="clear" w:color="auto" w:fill="auto"/>
          </w:tcPr>
          <w:p w14:paraId="46BA56EA" w14:textId="77777777" w:rsidR="00AA54B2" w:rsidRDefault="00323FB9">
            <w:pPr>
              <w:spacing w:after="0" w:line="240" w:lineRule="auto"/>
              <w:jc w:val="right"/>
            </w:pPr>
            <w:r>
              <w:t>0%</w:t>
            </w:r>
          </w:p>
        </w:tc>
      </w:tr>
      <w:tr w:rsidR="00AA54B2" w14:paraId="761DFDE7" w14:textId="77777777">
        <w:trPr>
          <w:trHeight w:val="397"/>
          <w:jc w:val="center"/>
        </w:trPr>
        <w:tc>
          <w:tcPr>
            <w:tcW w:w="1524" w:type="dxa"/>
            <w:vMerge/>
            <w:shd w:val="clear" w:color="auto" w:fill="D9D9D9"/>
            <w:vAlign w:val="center"/>
          </w:tcPr>
          <w:p w14:paraId="5F0DFC9E"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36A1339B"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Assignment</w:t>
            </w:r>
          </w:p>
        </w:tc>
        <w:tc>
          <w:tcPr>
            <w:tcW w:w="2102" w:type="dxa"/>
            <w:shd w:val="clear" w:color="auto" w:fill="auto"/>
          </w:tcPr>
          <w:p w14:paraId="6145A4F6" w14:textId="77777777" w:rsidR="00AA54B2" w:rsidRDefault="00323FB9">
            <w:pPr>
              <w:spacing w:after="0" w:line="240" w:lineRule="auto"/>
              <w:jc w:val="right"/>
            </w:pPr>
            <w:r>
              <w:t>20%</w:t>
            </w:r>
          </w:p>
        </w:tc>
        <w:tc>
          <w:tcPr>
            <w:tcW w:w="2370" w:type="dxa"/>
            <w:gridSpan w:val="2"/>
            <w:shd w:val="clear" w:color="auto" w:fill="EDEDED"/>
            <w:vAlign w:val="center"/>
          </w:tcPr>
          <w:p w14:paraId="47D66189" w14:textId="77777777" w:rsidR="00AA54B2" w:rsidRDefault="00323FB9">
            <w:pPr>
              <w:spacing w:after="0" w:line="240" w:lineRule="auto"/>
              <w:jc w:val="center"/>
              <w:rPr>
                <w:b/>
                <w:bCs/>
              </w:rPr>
            </w:pPr>
            <w:r>
              <w:rPr>
                <w:b/>
                <w:bCs/>
              </w:rPr>
              <w:t>Mid-term Exam</w:t>
            </w:r>
          </w:p>
        </w:tc>
        <w:tc>
          <w:tcPr>
            <w:tcW w:w="2359" w:type="dxa"/>
            <w:gridSpan w:val="3"/>
            <w:shd w:val="clear" w:color="auto" w:fill="auto"/>
          </w:tcPr>
          <w:p w14:paraId="06689B64" w14:textId="77777777" w:rsidR="00AA54B2" w:rsidRDefault="00323FB9">
            <w:pPr>
              <w:spacing w:after="0" w:line="240" w:lineRule="auto"/>
              <w:jc w:val="right"/>
            </w:pPr>
            <w:r>
              <w:t>20%</w:t>
            </w:r>
          </w:p>
        </w:tc>
      </w:tr>
      <w:tr w:rsidR="00AA54B2" w14:paraId="68634773" w14:textId="77777777">
        <w:trPr>
          <w:trHeight w:val="397"/>
          <w:jc w:val="center"/>
        </w:trPr>
        <w:tc>
          <w:tcPr>
            <w:tcW w:w="1524" w:type="dxa"/>
            <w:vMerge/>
            <w:shd w:val="clear" w:color="auto" w:fill="D9D9D9"/>
            <w:vAlign w:val="center"/>
          </w:tcPr>
          <w:p w14:paraId="77A2780E"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EE4BC14"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Presentation</w:t>
            </w:r>
          </w:p>
        </w:tc>
        <w:tc>
          <w:tcPr>
            <w:tcW w:w="2102" w:type="dxa"/>
            <w:shd w:val="clear" w:color="auto" w:fill="auto"/>
          </w:tcPr>
          <w:p w14:paraId="18102302" w14:textId="77777777" w:rsidR="00AA54B2" w:rsidRDefault="00323FB9">
            <w:pPr>
              <w:spacing w:after="0" w:line="240" w:lineRule="auto"/>
              <w:jc w:val="right"/>
            </w:pPr>
            <w:r>
              <w:t>10%</w:t>
            </w:r>
          </w:p>
        </w:tc>
        <w:tc>
          <w:tcPr>
            <w:tcW w:w="2370" w:type="dxa"/>
            <w:gridSpan w:val="2"/>
            <w:shd w:val="clear" w:color="auto" w:fill="EDEDED"/>
            <w:vAlign w:val="center"/>
          </w:tcPr>
          <w:p w14:paraId="3E1BD21A" w14:textId="77777777" w:rsidR="00AA54B2" w:rsidRDefault="00323FB9">
            <w:pPr>
              <w:spacing w:after="0" w:line="240" w:lineRule="auto"/>
              <w:jc w:val="center"/>
              <w:rPr>
                <w:b/>
                <w:bCs/>
              </w:rPr>
            </w:pPr>
            <w:r>
              <w:rPr>
                <w:b/>
                <w:bCs/>
              </w:rPr>
              <w:t>Final Exam</w:t>
            </w:r>
          </w:p>
        </w:tc>
        <w:tc>
          <w:tcPr>
            <w:tcW w:w="2359" w:type="dxa"/>
            <w:gridSpan w:val="3"/>
            <w:shd w:val="clear" w:color="auto" w:fill="auto"/>
          </w:tcPr>
          <w:p w14:paraId="4C580922" w14:textId="77777777" w:rsidR="00AA54B2" w:rsidRDefault="00323FB9">
            <w:pPr>
              <w:spacing w:after="0" w:line="240" w:lineRule="auto"/>
              <w:jc w:val="right"/>
            </w:pPr>
            <w:r>
              <w:t>20%</w:t>
            </w:r>
          </w:p>
        </w:tc>
      </w:tr>
      <w:tr w:rsidR="00AA54B2" w14:paraId="07671DA0" w14:textId="77777777">
        <w:trPr>
          <w:trHeight w:val="397"/>
          <w:jc w:val="center"/>
        </w:trPr>
        <w:tc>
          <w:tcPr>
            <w:tcW w:w="1524" w:type="dxa"/>
            <w:vMerge/>
            <w:shd w:val="clear" w:color="auto" w:fill="D9D9D9"/>
            <w:vAlign w:val="center"/>
          </w:tcPr>
          <w:p w14:paraId="43B8E869"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7B8D19F"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Group Project</w:t>
            </w:r>
          </w:p>
        </w:tc>
        <w:tc>
          <w:tcPr>
            <w:tcW w:w="2102" w:type="dxa"/>
            <w:shd w:val="clear" w:color="auto" w:fill="auto"/>
          </w:tcPr>
          <w:p w14:paraId="784E938E" w14:textId="77777777" w:rsidR="00AA54B2" w:rsidRDefault="00323FB9">
            <w:pPr>
              <w:spacing w:after="0" w:line="240" w:lineRule="auto"/>
              <w:jc w:val="right"/>
            </w:pPr>
            <w:r>
              <w:t>0%</w:t>
            </w:r>
          </w:p>
        </w:tc>
        <w:tc>
          <w:tcPr>
            <w:tcW w:w="2370" w:type="dxa"/>
            <w:gridSpan w:val="2"/>
            <w:shd w:val="clear" w:color="auto" w:fill="EDEDED"/>
            <w:vAlign w:val="center"/>
          </w:tcPr>
          <w:p w14:paraId="797FA3C5" w14:textId="77777777" w:rsidR="00AA54B2" w:rsidRDefault="00323FB9">
            <w:pPr>
              <w:spacing w:after="0" w:line="240" w:lineRule="auto"/>
              <w:jc w:val="center"/>
              <w:rPr>
                <w:b/>
                <w:bCs/>
              </w:rPr>
            </w:pPr>
            <w:r>
              <w:rPr>
                <w:b/>
                <w:bCs/>
              </w:rPr>
              <w:t>Participation</w:t>
            </w:r>
          </w:p>
        </w:tc>
        <w:tc>
          <w:tcPr>
            <w:tcW w:w="2359" w:type="dxa"/>
            <w:gridSpan w:val="3"/>
            <w:shd w:val="clear" w:color="auto" w:fill="auto"/>
          </w:tcPr>
          <w:p w14:paraId="30BAC011" w14:textId="77777777" w:rsidR="00AA54B2" w:rsidRDefault="00323FB9">
            <w:pPr>
              <w:spacing w:after="0" w:line="240" w:lineRule="auto"/>
              <w:jc w:val="right"/>
            </w:pPr>
            <w:r>
              <w:t>10%</w:t>
            </w:r>
          </w:p>
        </w:tc>
      </w:tr>
      <w:tr w:rsidR="00AA54B2" w14:paraId="25BFD130" w14:textId="77777777">
        <w:trPr>
          <w:trHeight w:val="397"/>
          <w:jc w:val="center"/>
        </w:trPr>
        <w:tc>
          <w:tcPr>
            <w:tcW w:w="1524" w:type="dxa"/>
            <w:vMerge/>
            <w:shd w:val="clear" w:color="auto" w:fill="D9D9D9"/>
            <w:vAlign w:val="center"/>
          </w:tcPr>
          <w:p w14:paraId="19E8479D" w14:textId="77777777" w:rsidR="00AA54B2" w:rsidRDefault="00AA54B2">
            <w:pPr>
              <w:pBdr>
                <w:top w:val="nil"/>
                <w:left w:val="nil"/>
                <w:bottom w:val="nil"/>
                <w:right w:val="nil"/>
                <w:between w:val="nil"/>
              </w:pBdr>
              <w:spacing w:after="0" w:line="276" w:lineRule="auto"/>
              <w:jc w:val="left"/>
              <w:rPr>
                <w:color w:val="000000"/>
              </w:rPr>
            </w:pPr>
          </w:p>
        </w:tc>
        <w:tc>
          <w:tcPr>
            <w:tcW w:w="2167" w:type="dxa"/>
            <w:vMerge w:val="restart"/>
            <w:shd w:val="clear" w:color="auto" w:fill="EDEDED"/>
            <w:vAlign w:val="center"/>
          </w:tcPr>
          <w:p w14:paraId="7F100642"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Etc.</w:t>
            </w:r>
          </w:p>
        </w:tc>
        <w:tc>
          <w:tcPr>
            <w:tcW w:w="4472" w:type="dxa"/>
            <w:gridSpan w:val="3"/>
            <w:shd w:val="clear" w:color="auto" w:fill="EDEDED"/>
            <w:vAlign w:val="center"/>
          </w:tcPr>
          <w:p w14:paraId="24CD02F8"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Evaluation Item</w:t>
            </w:r>
          </w:p>
        </w:tc>
        <w:tc>
          <w:tcPr>
            <w:tcW w:w="2359" w:type="dxa"/>
            <w:gridSpan w:val="3"/>
            <w:shd w:val="clear" w:color="auto" w:fill="EDEDED"/>
            <w:vAlign w:val="center"/>
          </w:tcPr>
          <w:p w14:paraId="67F7BAA2"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Ratio</w:t>
            </w:r>
          </w:p>
        </w:tc>
      </w:tr>
      <w:tr w:rsidR="00AA54B2" w14:paraId="16F0BDCB" w14:textId="77777777">
        <w:trPr>
          <w:trHeight w:val="397"/>
          <w:jc w:val="center"/>
        </w:trPr>
        <w:tc>
          <w:tcPr>
            <w:tcW w:w="1524" w:type="dxa"/>
            <w:vMerge/>
            <w:shd w:val="clear" w:color="auto" w:fill="D9D9D9"/>
            <w:vAlign w:val="center"/>
          </w:tcPr>
          <w:p w14:paraId="4AC8ED56" w14:textId="77777777" w:rsidR="00AA54B2" w:rsidRDefault="00AA54B2">
            <w:pPr>
              <w:pBdr>
                <w:top w:val="nil"/>
                <w:left w:val="nil"/>
                <w:bottom w:val="nil"/>
                <w:right w:val="nil"/>
                <w:between w:val="nil"/>
              </w:pBdr>
              <w:spacing w:after="0" w:line="276" w:lineRule="auto"/>
              <w:jc w:val="left"/>
              <w:rPr>
                <w:b/>
                <w:bCs/>
                <w:color w:val="000000"/>
              </w:rPr>
            </w:pPr>
          </w:p>
        </w:tc>
        <w:tc>
          <w:tcPr>
            <w:tcW w:w="2167" w:type="dxa"/>
            <w:vMerge/>
            <w:shd w:val="clear" w:color="auto" w:fill="EDEDED"/>
            <w:vAlign w:val="center"/>
          </w:tcPr>
          <w:p w14:paraId="1945E059" w14:textId="77777777" w:rsidR="00AA54B2" w:rsidRDefault="00AA54B2">
            <w:pPr>
              <w:pBdr>
                <w:top w:val="nil"/>
                <w:left w:val="nil"/>
                <w:bottom w:val="nil"/>
                <w:right w:val="nil"/>
                <w:between w:val="nil"/>
              </w:pBdr>
              <w:spacing w:after="0" w:line="276" w:lineRule="auto"/>
              <w:jc w:val="left"/>
              <w:rPr>
                <w:b/>
                <w:bCs/>
                <w:color w:val="000000"/>
              </w:rPr>
            </w:pPr>
          </w:p>
        </w:tc>
        <w:tc>
          <w:tcPr>
            <w:tcW w:w="4472" w:type="dxa"/>
            <w:gridSpan w:val="3"/>
            <w:shd w:val="clear" w:color="auto" w:fill="auto"/>
          </w:tcPr>
          <w:p w14:paraId="28BC8396" w14:textId="77777777" w:rsidR="00AA54B2" w:rsidRDefault="00AA54B2">
            <w:pPr>
              <w:pBdr>
                <w:top w:val="nil"/>
                <w:left w:val="nil"/>
                <w:bottom w:val="nil"/>
                <w:right w:val="nil"/>
                <w:between w:val="nil"/>
              </w:pBdr>
              <w:spacing w:after="0" w:line="240" w:lineRule="auto"/>
              <w:rPr>
                <w:color w:val="000000"/>
              </w:rPr>
            </w:pPr>
          </w:p>
        </w:tc>
        <w:tc>
          <w:tcPr>
            <w:tcW w:w="2359" w:type="dxa"/>
            <w:gridSpan w:val="3"/>
            <w:shd w:val="clear" w:color="auto" w:fill="auto"/>
          </w:tcPr>
          <w:p w14:paraId="6310CF62" w14:textId="77777777" w:rsidR="00AA54B2" w:rsidRDefault="00323FB9">
            <w:pPr>
              <w:pBdr>
                <w:top w:val="nil"/>
                <w:left w:val="nil"/>
                <w:bottom w:val="nil"/>
                <w:right w:val="nil"/>
                <w:between w:val="nil"/>
              </w:pBdr>
              <w:spacing w:after="0" w:line="240" w:lineRule="auto"/>
              <w:jc w:val="right"/>
              <w:rPr>
                <w:color w:val="000000"/>
              </w:rPr>
            </w:pPr>
            <w:r>
              <w:rPr>
                <w:color w:val="000000"/>
              </w:rPr>
              <w:t>%</w:t>
            </w:r>
          </w:p>
        </w:tc>
      </w:tr>
      <w:tr w:rsidR="00AA54B2" w14:paraId="419C19EF" w14:textId="77777777">
        <w:trPr>
          <w:trHeight w:val="397"/>
          <w:jc w:val="center"/>
        </w:trPr>
        <w:tc>
          <w:tcPr>
            <w:tcW w:w="1524" w:type="dxa"/>
            <w:vMerge/>
            <w:shd w:val="clear" w:color="auto" w:fill="D9D9D9"/>
            <w:vAlign w:val="center"/>
          </w:tcPr>
          <w:p w14:paraId="2CADCA65" w14:textId="77777777" w:rsidR="00AA54B2" w:rsidRDefault="00AA54B2">
            <w:pPr>
              <w:pBdr>
                <w:top w:val="nil"/>
                <w:left w:val="nil"/>
                <w:bottom w:val="nil"/>
                <w:right w:val="nil"/>
                <w:between w:val="nil"/>
              </w:pBdr>
              <w:spacing w:after="0" w:line="276" w:lineRule="auto"/>
              <w:jc w:val="left"/>
              <w:rPr>
                <w:color w:val="000000"/>
              </w:rPr>
            </w:pPr>
          </w:p>
        </w:tc>
        <w:tc>
          <w:tcPr>
            <w:tcW w:w="2167" w:type="dxa"/>
            <w:vMerge/>
            <w:shd w:val="clear" w:color="auto" w:fill="EDEDED"/>
            <w:vAlign w:val="center"/>
          </w:tcPr>
          <w:p w14:paraId="223A60A1" w14:textId="77777777" w:rsidR="00AA54B2" w:rsidRDefault="00AA54B2">
            <w:pPr>
              <w:pBdr>
                <w:top w:val="nil"/>
                <w:left w:val="nil"/>
                <w:bottom w:val="nil"/>
                <w:right w:val="nil"/>
                <w:between w:val="nil"/>
              </w:pBdr>
              <w:spacing w:after="0" w:line="276" w:lineRule="auto"/>
              <w:jc w:val="left"/>
              <w:rPr>
                <w:color w:val="000000"/>
              </w:rPr>
            </w:pPr>
          </w:p>
        </w:tc>
        <w:tc>
          <w:tcPr>
            <w:tcW w:w="4472" w:type="dxa"/>
            <w:gridSpan w:val="3"/>
            <w:shd w:val="clear" w:color="auto" w:fill="auto"/>
          </w:tcPr>
          <w:p w14:paraId="3499D575" w14:textId="77777777" w:rsidR="00AA54B2" w:rsidRDefault="00AA54B2">
            <w:pPr>
              <w:pBdr>
                <w:top w:val="nil"/>
                <w:left w:val="nil"/>
                <w:bottom w:val="nil"/>
                <w:right w:val="nil"/>
                <w:between w:val="nil"/>
              </w:pBdr>
              <w:spacing w:after="0" w:line="240" w:lineRule="auto"/>
              <w:rPr>
                <w:color w:val="000000"/>
              </w:rPr>
            </w:pPr>
          </w:p>
        </w:tc>
        <w:tc>
          <w:tcPr>
            <w:tcW w:w="2359" w:type="dxa"/>
            <w:gridSpan w:val="3"/>
            <w:shd w:val="clear" w:color="auto" w:fill="auto"/>
          </w:tcPr>
          <w:p w14:paraId="0C9EC299" w14:textId="77777777" w:rsidR="00AA54B2" w:rsidRDefault="00323FB9">
            <w:pPr>
              <w:pBdr>
                <w:top w:val="nil"/>
                <w:left w:val="nil"/>
                <w:bottom w:val="nil"/>
                <w:right w:val="nil"/>
                <w:between w:val="nil"/>
              </w:pBdr>
              <w:spacing w:after="0" w:line="240" w:lineRule="auto"/>
              <w:jc w:val="right"/>
              <w:rPr>
                <w:color w:val="000000"/>
              </w:rPr>
            </w:pPr>
            <w:r>
              <w:rPr>
                <w:color w:val="000000"/>
              </w:rPr>
              <w:t>%</w:t>
            </w:r>
          </w:p>
        </w:tc>
      </w:tr>
    </w:tbl>
    <w:p w14:paraId="1C9BC210" w14:textId="77777777" w:rsidR="00AA54B2" w:rsidRDefault="00AA54B2">
      <w:pPr>
        <w:pBdr>
          <w:top w:val="nil"/>
          <w:left w:val="nil"/>
          <w:bottom w:val="nil"/>
          <w:right w:val="nil"/>
          <w:between w:val="nil"/>
        </w:pBdr>
        <w:spacing w:after="0" w:line="240" w:lineRule="auto"/>
        <w:rPr>
          <w:sz w:val="14"/>
          <w:szCs w:val="14"/>
        </w:rPr>
      </w:pPr>
    </w:p>
    <w:p w14:paraId="1E70AA4B" w14:textId="77777777" w:rsidR="00AA54B2" w:rsidRDefault="00323FB9">
      <w:pPr>
        <w:pBdr>
          <w:top w:val="nil"/>
          <w:left w:val="nil"/>
          <w:bottom w:val="nil"/>
          <w:right w:val="nil"/>
          <w:between w:val="nil"/>
        </w:pBdr>
        <w:spacing w:after="0" w:line="240" w:lineRule="auto"/>
        <w:rPr>
          <w:rFonts w:ascii="Arial" w:eastAsia="Arial" w:hAnsi="Arial" w:cs="Arial"/>
          <w:b/>
          <w:bCs/>
          <w:color w:val="000000"/>
          <w:sz w:val="22"/>
          <w:szCs w:val="22"/>
        </w:rPr>
      </w:pPr>
      <w:r>
        <w:rPr>
          <w:rFonts w:ascii="Arial" w:eastAsia="Arial" w:hAnsi="Arial" w:cs="Arial"/>
          <w:b/>
          <w:bCs/>
          <w:color w:val="000000"/>
          <w:sz w:val="22"/>
          <w:szCs w:val="22"/>
        </w:rPr>
        <w:t>Daily Lecture Plan</w:t>
      </w:r>
    </w:p>
    <w:tbl>
      <w:tblPr>
        <w:tblStyle w:val="a6"/>
        <w:tblW w:w="1044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85"/>
        <w:gridCol w:w="9255"/>
      </w:tblGrid>
      <w:tr w:rsidR="00AA54B2" w14:paraId="33F41A4C"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341C7DA"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Day 1</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D9CD06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Course Introduction: The Nexus of Culture, Content, and Finance. Overview of the creative economy, defining culture and content as economic goods, and introduction to the course's interdisciplinary framework.</w:t>
            </w:r>
          </w:p>
        </w:tc>
      </w:tr>
      <w:tr w:rsidR="00AA54B2" w14:paraId="221863C9"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6A19A7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2</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0AFC4A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Economic Struct</w:t>
            </w:r>
            <w:r>
              <w:rPr>
                <w:rFonts w:ascii="Times New Roman" w:eastAsia="Times New Roman" w:hAnsi="Times New Roman" w:cs="Times New Roman"/>
              </w:rPr>
              <w:t>ure of Creative Industries. Analysis of value chains, market dynamics, and common monetization models (e.g., advertising, subscription, transaction) across different creative sectors.</w:t>
            </w:r>
          </w:p>
        </w:tc>
      </w:tr>
      <w:tr w:rsidR="00AA54B2" w14:paraId="5F7B128E"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CB8C826"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3</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7E32122"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Financial Fundamentals for Creative Enterprises. Core financial c</w:t>
            </w:r>
            <w:r>
              <w:rPr>
                <w:rFonts w:ascii="Times New Roman" w:eastAsia="Times New Roman" w:hAnsi="Times New Roman" w:cs="Times New Roman"/>
              </w:rPr>
              <w:t>oncepts (e.g., cash flow, revenue recognition, capital budgeting) and how they apply uniquely to creative, project-based organizations. Introduce Harvard Business Case 1.</w:t>
            </w:r>
          </w:p>
        </w:tc>
      </w:tr>
      <w:tr w:rsidR="00AA54B2" w14:paraId="32CF7928"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F83BF82"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4</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C56A39C"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Financing Creative Projects: Sources of Capital. Exploration of funding sources including venture capital, government grants, film finance, arts endowments, and crowdfunding. Discussion of Harvard Business Case 1.</w:t>
            </w:r>
          </w:p>
        </w:tc>
      </w:tr>
      <w:tr w:rsidR="00AA54B2" w14:paraId="6849BFD7"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C67B312"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5</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14D9495"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Financial Strategies in the Film an</w:t>
            </w:r>
            <w:r>
              <w:rPr>
                <w:rFonts w:ascii="Times New Roman" w:eastAsia="Times New Roman" w:hAnsi="Times New Roman" w:cs="Times New Roman"/>
              </w:rPr>
              <w:t>d Television Industry. Focus on risk management, co-production deals, distribution financing, and the economics of streaming platforms.</w:t>
            </w:r>
          </w:p>
        </w:tc>
      </w:tr>
      <w:tr w:rsidR="00AA54B2" w14:paraId="15A31DCC"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0517F4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6</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18CE7BE"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Financial Strategies in the Music Industry. Examination of digital monetization, intellectual property (IP) right</w:t>
            </w:r>
            <w:r>
              <w:rPr>
                <w:rFonts w:ascii="Times New Roman" w:eastAsia="Times New Roman" w:hAnsi="Times New Roman" w:cs="Times New Roman"/>
              </w:rPr>
              <w:t>s and royalties, and the financial structure of live music and touring. Introduce Harvard Business Case 2.</w:t>
            </w:r>
          </w:p>
        </w:tc>
      </w:tr>
      <w:tr w:rsidR="00AA54B2" w14:paraId="21FC3E48"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DBAD050"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7</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2D64AB0"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Financial Strategies in the Gaming and Interactive Content Sector. Analysis of free-to-play, subscription, and in-game purchase models; platfo</w:t>
            </w:r>
            <w:r>
              <w:rPr>
                <w:rFonts w:ascii="Times New Roman" w:eastAsia="Times New Roman" w:hAnsi="Times New Roman" w:cs="Times New Roman"/>
              </w:rPr>
              <w:t>rm economics and developer financing. Discussion of Harvard Business Case 2.</w:t>
            </w:r>
          </w:p>
        </w:tc>
      </w:tr>
      <w:tr w:rsidR="00AA54B2" w14:paraId="14BBB8CF"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4EE2772"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8</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F6C31B5"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Valuation of Intangible Creative Assets (IP). Methods for valuing intellectual property, brands, and human capital in creative enterprises, including comparables and discou</w:t>
            </w:r>
            <w:r>
              <w:rPr>
                <w:rFonts w:ascii="Times New Roman" w:eastAsia="Times New Roman" w:hAnsi="Times New Roman" w:cs="Times New Roman"/>
              </w:rPr>
              <w:t>nted cash flow models. Introduce Harvard Business Case 3.</w:t>
            </w:r>
          </w:p>
        </w:tc>
      </w:tr>
      <w:tr w:rsidR="00AA54B2" w14:paraId="616D3742"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AD9EB1"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9</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FAD9656"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Global Content Distribution and Cross-Border Finance. Strategies for international market entry, managing currency risk, and structuring international co-financing and distribution agreements</w:t>
            </w:r>
            <w:r>
              <w:rPr>
                <w:rFonts w:ascii="Times New Roman" w:eastAsia="Times New Roman" w:hAnsi="Times New Roman" w:cs="Times New Roman"/>
              </w:rPr>
              <w:t>. Discussion of Harvard Business Case 3.</w:t>
            </w:r>
          </w:p>
        </w:tc>
      </w:tr>
      <w:tr w:rsidR="00AA54B2" w14:paraId="38CCBED2"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5EDD866"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10</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939521"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Innovation and Entrepreneurship in the Creative Economy. </w:t>
            </w:r>
            <w:r>
              <w:rPr>
                <w:rFonts w:ascii="Times New Roman" w:eastAsia="Times New Roman" w:hAnsi="Times New Roman" w:cs="Times New Roman"/>
              </w:rPr>
              <w:t>Developing and pitching new business models, managing startup finance, and scaling creative ventures. Introduce Harvard Business Case 4.</w:t>
            </w:r>
          </w:p>
        </w:tc>
      </w:tr>
      <w:tr w:rsidR="00AA54B2" w14:paraId="469EEB75"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1C16219"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11</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2DD15ED"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Case Study Deep Dive: A Major Creative Company. Comprehensive financial and strategic analysis of a leading com</w:t>
            </w:r>
            <w:r>
              <w:rPr>
                <w:rFonts w:ascii="Times New Roman" w:eastAsia="Times New Roman" w:hAnsi="Times New Roman" w:cs="Times New Roman"/>
              </w:rPr>
              <w:t>pany in the creative industries (e.g., Netflix, Disney, HYBE). Discussion of Harvard Business Case 4.</w:t>
            </w:r>
          </w:p>
        </w:tc>
      </w:tr>
      <w:tr w:rsidR="00AA54B2" w14:paraId="74C24191"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9BBB07C"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12</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06E5BBE"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Impact Investing and Non-Financial Metrics. The role of Environmental, Social, and Governance (ESG) factors and measuring cultural, social, and ec</w:t>
            </w:r>
            <w:r>
              <w:rPr>
                <w:rFonts w:ascii="Times New Roman" w:eastAsia="Times New Roman" w:hAnsi="Times New Roman" w:cs="Times New Roman"/>
              </w:rPr>
              <w:t>onomic impacts beyond simple profit.</w:t>
            </w:r>
          </w:p>
        </w:tc>
      </w:tr>
      <w:tr w:rsidR="00AA54B2" w14:paraId="721CA564"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B5A44B2"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13</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10A459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The Future of Creative Finance. Emerging technologies like Web3, NFTs, and AI's influence on content creation, ownership, and financial transactions.</w:t>
            </w:r>
          </w:p>
        </w:tc>
      </w:tr>
      <w:tr w:rsidR="00AA54B2" w14:paraId="44D75B7F"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001F0FA"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14</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5868633"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Student Presentations and Review. Dedicated class time for student presentations of assignments or group projects, and a comprehensive review of the course's key financial and strategic concepts.</w:t>
            </w:r>
          </w:p>
        </w:tc>
      </w:tr>
      <w:tr w:rsidR="00AA54B2" w14:paraId="5D0598FA"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4DDF27A"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15</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1ABF5E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Course Wrap-up and Final Examination. Final Q&amp;A sess</w:t>
            </w:r>
            <w:r>
              <w:rPr>
                <w:rFonts w:ascii="Times New Roman" w:eastAsia="Times New Roman" w:hAnsi="Times New Roman" w:cs="Times New Roman"/>
              </w:rPr>
              <w:t>ion, course synthesis, and in-class final examination covering all lecture materials and case discussions.</w:t>
            </w:r>
          </w:p>
        </w:tc>
      </w:tr>
    </w:tbl>
    <w:p w14:paraId="3ACA848A" w14:textId="77777777" w:rsidR="00AA54B2" w:rsidRDefault="00AA54B2">
      <w:pPr>
        <w:pBdr>
          <w:top w:val="nil"/>
          <w:left w:val="nil"/>
          <w:bottom w:val="nil"/>
          <w:right w:val="nil"/>
          <w:between w:val="nil"/>
        </w:pBdr>
        <w:spacing w:after="0" w:line="240" w:lineRule="auto"/>
        <w:rPr>
          <w:b/>
          <w:bCs/>
          <w:sz w:val="14"/>
          <w:szCs w:val="14"/>
        </w:rPr>
      </w:pPr>
    </w:p>
    <w:sectPr w:rsidR="00AA54B2">
      <w:headerReference w:type="default" r:id="rId9"/>
      <w:headerReference w:type="first" r:id="rId10"/>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E359C" w14:textId="77777777" w:rsidR="00000000" w:rsidRDefault="00323FB9">
      <w:pPr>
        <w:spacing w:after="0" w:line="240" w:lineRule="auto"/>
      </w:pPr>
      <w:r>
        <w:separator/>
      </w:r>
    </w:p>
  </w:endnote>
  <w:endnote w:type="continuationSeparator" w:id="0">
    <w:p w14:paraId="71DE435E" w14:textId="77777777" w:rsidR="00000000" w:rsidRDefault="00323F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embedRegular r:id="rId1" w:subsetted="1" w:fontKey="{389BB15A-3398-41E3-AC3B-A638B6193B23}"/>
    <w:embedBold r:id="rId2" w:subsetted="1" w:fontKey="{19C3026C-25D5-4EF1-967B-8E9F21B232CF}"/>
  </w:font>
  <w:font w:name="Noto Sans Symbols">
    <w:charset w:val="00"/>
    <w:family w:val="auto"/>
    <w:pitch w:val="default"/>
    <w:embedRegular r:id="rId3" w:fontKey="{458EEAB3-8345-41A8-806F-B07DAD54866E}"/>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2B73530F-3489-4B32-B7EC-BB947CBA8072}"/>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5" w:fontKey="{1A3CE4C6-071B-4B3E-B334-27A76085CBD2}"/>
  </w:font>
  <w:font w:name="Cambria">
    <w:panose1 w:val="02040503050406030204"/>
    <w:charset w:val="00"/>
    <w:family w:val="roman"/>
    <w:pitch w:val="variable"/>
    <w:sig w:usb0="E00006FF" w:usb1="420024FF" w:usb2="02000000" w:usb3="00000000" w:csb0="0000019F" w:csb1="00000000"/>
    <w:embedRegular r:id="rId6" w:fontKey="{FEA80F4C-4931-467F-8AAA-F4E3259C3CC8}"/>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B742F" w14:textId="77777777" w:rsidR="00000000" w:rsidRDefault="00323FB9">
      <w:pPr>
        <w:spacing w:after="0" w:line="240" w:lineRule="auto"/>
      </w:pPr>
      <w:r>
        <w:separator/>
      </w:r>
    </w:p>
  </w:footnote>
  <w:footnote w:type="continuationSeparator" w:id="0">
    <w:p w14:paraId="10CBB3C1" w14:textId="77777777" w:rsidR="00000000" w:rsidRDefault="00323F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DC953" w14:textId="77777777" w:rsidR="00AA54B2" w:rsidRDefault="00323FB9">
    <w:pPr>
      <w:pBdr>
        <w:top w:val="nil"/>
        <w:left w:val="nil"/>
        <w:bottom w:val="nil"/>
        <w:right w:val="nil"/>
        <w:between w:val="nil"/>
      </w:pBdr>
      <w:tabs>
        <w:tab w:val="center" w:pos="4513"/>
        <w:tab w:val="right" w:pos="9026"/>
      </w:tabs>
      <w:jc w:val="right"/>
      <w:rPr>
        <w:color w:val="000000"/>
      </w:rPr>
    </w:pPr>
    <w:r>
      <w:rPr>
        <w:noProof/>
        <w:color w:val="000000"/>
        <w:sz w:val="24"/>
        <w:szCs w:val="24"/>
      </w:rPr>
      <w:drawing>
        <wp:inline distT="0" distB="0" distL="0" distR="0" wp14:anchorId="7162980B" wp14:editId="6E6FCC5D">
          <wp:extent cx="1657350" cy="266700"/>
          <wp:effectExtent l="0" t="0" r="0" b="0"/>
          <wp:docPr id="1"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1E311" w14:textId="77777777" w:rsidR="00AA54B2" w:rsidRDefault="00323FB9">
    <w:pPr>
      <w:pBdr>
        <w:top w:val="nil"/>
        <w:left w:val="nil"/>
        <w:bottom w:val="nil"/>
        <w:right w:val="nil"/>
        <w:between w:val="nil"/>
      </w:pBdr>
      <w:tabs>
        <w:tab w:val="center" w:pos="4513"/>
        <w:tab w:val="right" w:pos="9026"/>
      </w:tabs>
      <w:jc w:val="center"/>
      <w:rPr>
        <w:color w:val="000000"/>
      </w:rPr>
    </w:pPr>
    <w:r>
      <w:rPr>
        <w:noProof/>
        <w:color w:val="000000"/>
        <w:sz w:val="24"/>
        <w:szCs w:val="24"/>
      </w:rPr>
      <w:drawing>
        <wp:inline distT="0" distB="0" distL="0" distR="0" wp14:anchorId="51FFFB0E" wp14:editId="644F17E2">
          <wp:extent cx="3771900" cy="609600"/>
          <wp:effectExtent l="0" t="0" r="0" b="0"/>
          <wp:docPr id="2"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rPr>
      <w:br/>
    </w:r>
    <w:r>
      <w:rPr>
        <w:b/>
        <w:bCs/>
        <w:color w:val="000000"/>
        <w:sz w:val="28"/>
        <w:szCs w:val="28"/>
      </w:rPr>
      <w:t>Hanyang International Summer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F335D"/>
    <w:multiLevelType w:val="multilevel"/>
    <w:tmpl w:val="5962688A"/>
    <w:lvl w:ilvl="0">
      <w:start w:val="5"/>
      <w:numFmt w:val="bullet"/>
      <w:lvlText w:val="-"/>
      <w:lvlJc w:val="left"/>
      <w:pPr>
        <w:ind w:left="760" w:hanging="360"/>
      </w:pPr>
      <w:rPr>
        <w:rFonts w:ascii="맑은 고딕" w:eastAsia="맑은 고딕" w:hAnsi="맑은 고딕" w:cs="맑은 고딕"/>
      </w:rPr>
    </w:lvl>
    <w:lvl w:ilvl="1">
      <w:start w:val="1"/>
      <w:numFmt w:val="bullet"/>
      <w:lvlText w:val="■"/>
      <w:lvlJc w:val="left"/>
      <w:pPr>
        <w:ind w:left="1200" w:hanging="400"/>
      </w:pPr>
      <w:rPr>
        <w:rFonts w:ascii="Noto Sans Symbols" w:eastAsia="Noto Sans Symbols" w:hAnsi="Noto Sans Symbols" w:cs="Noto Sans Symbols"/>
      </w:rPr>
    </w:lvl>
    <w:lvl w:ilvl="2">
      <w:start w:val="1"/>
      <w:numFmt w:val="bullet"/>
      <w:lvlText w:val="◆"/>
      <w:lvlJc w:val="left"/>
      <w:pPr>
        <w:ind w:left="1600" w:hanging="400"/>
      </w:pPr>
      <w:rPr>
        <w:rFonts w:ascii="Noto Sans Symbols" w:eastAsia="Noto Sans Symbols" w:hAnsi="Noto Sans Symbols" w:cs="Noto Sans Symbols"/>
      </w:rPr>
    </w:lvl>
    <w:lvl w:ilvl="3">
      <w:start w:val="1"/>
      <w:numFmt w:val="bullet"/>
      <w:lvlText w:val="●"/>
      <w:lvlJc w:val="left"/>
      <w:pPr>
        <w:ind w:left="2000" w:hanging="400"/>
      </w:pPr>
      <w:rPr>
        <w:rFonts w:ascii="Noto Sans Symbols" w:eastAsia="Noto Sans Symbols" w:hAnsi="Noto Sans Symbols" w:cs="Noto Sans Symbols"/>
      </w:rPr>
    </w:lvl>
    <w:lvl w:ilvl="4">
      <w:start w:val="1"/>
      <w:numFmt w:val="bullet"/>
      <w:lvlText w:val="■"/>
      <w:lvlJc w:val="left"/>
      <w:pPr>
        <w:ind w:left="2400" w:hanging="400"/>
      </w:pPr>
      <w:rPr>
        <w:rFonts w:ascii="Noto Sans Symbols" w:eastAsia="Noto Sans Symbols" w:hAnsi="Noto Sans Symbols" w:cs="Noto Sans Symbols"/>
      </w:rPr>
    </w:lvl>
    <w:lvl w:ilvl="5">
      <w:start w:val="1"/>
      <w:numFmt w:val="bullet"/>
      <w:lvlText w:val="◆"/>
      <w:lvlJc w:val="left"/>
      <w:pPr>
        <w:ind w:left="2800" w:hanging="400"/>
      </w:pPr>
      <w:rPr>
        <w:rFonts w:ascii="Noto Sans Symbols" w:eastAsia="Noto Sans Symbols" w:hAnsi="Noto Sans Symbols" w:cs="Noto Sans Symbols"/>
      </w:rPr>
    </w:lvl>
    <w:lvl w:ilvl="6">
      <w:start w:val="1"/>
      <w:numFmt w:val="bullet"/>
      <w:lvlText w:val="●"/>
      <w:lvlJc w:val="left"/>
      <w:pPr>
        <w:ind w:left="3200" w:hanging="400"/>
      </w:pPr>
      <w:rPr>
        <w:rFonts w:ascii="Noto Sans Symbols" w:eastAsia="Noto Sans Symbols" w:hAnsi="Noto Sans Symbols" w:cs="Noto Sans Symbols"/>
      </w:rPr>
    </w:lvl>
    <w:lvl w:ilvl="7">
      <w:start w:val="1"/>
      <w:numFmt w:val="bullet"/>
      <w:lvlText w:val="■"/>
      <w:lvlJc w:val="left"/>
      <w:pPr>
        <w:ind w:left="3600" w:hanging="400"/>
      </w:pPr>
      <w:rPr>
        <w:rFonts w:ascii="Noto Sans Symbols" w:eastAsia="Noto Sans Symbols" w:hAnsi="Noto Sans Symbols" w:cs="Noto Sans Symbols"/>
      </w:rPr>
    </w:lvl>
    <w:lvl w:ilvl="8">
      <w:start w:val="1"/>
      <w:numFmt w:val="bullet"/>
      <w:lvlText w:val="◆"/>
      <w:lvlJc w:val="left"/>
      <w:pPr>
        <w:ind w:left="4000" w:hanging="40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TrueTypeFonts/>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54B2"/>
    <w:rsid w:val="00323FB9"/>
    <w:rsid w:val="00AA54B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F9BB9C"/>
  <w15:docId w15:val="{3DFFEBBB-B953-478B-931C-496F1C1BC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semiHidden/>
    <w:unhideWhenUsed/>
    <w:qFormat/>
    <w:pPr>
      <w:keepNext/>
      <w:keepLines/>
      <w:spacing w:before="360" w:after="80"/>
      <w:outlineLvl w:val="1"/>
    </w:pPr>
    <w:rPr>
      <w:b/>
      <w:bCs/>
      <w:sz w:val="36"/>
      <w:szCs w:val="3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paragraph" w:styleId="a4">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5">
    <w:basedOn w:val="TableNormal"/>
    <w:tblPr>
      <w:tblStyleRowBandSize w:val="1"/>
      <w:tblStyleColBandSize w:val="1"/>
      <w:tblCellMar>
        <w:top w:w="0" w:type="dxa"/>
        <w:left w:w="115" w:type="dxa"/>
        <w:bottom w:w="0" w:type="dxa"/>
        <w:right w:w="115" w:type="dxa"/>
      </w:tblCellMar>
    </w:tblPr>
  </w:style>
  <w:style w:type="table" w:customStyle="1" w:styleId="a6">
    <w:basedOn w:val="TableNormal"/>
    <w:tblPr>
      <w:tblStyleRowBandSize w:val="1"/>
      <w:tblStyleColBandSize w:val="1"/>
    </w:tblPr>
  </w:style>
  <w:style w:type="paragraph" w:styleId="a7">
    <w:name w:val="header"/>
    <w:basedOn w:val="a"/>
    <w:link w:val="Char"/>
    <w:uiPriority w:val="99"/>
    <w:unhideWhenUsed/>
    <w:rsid w:val="00323FB9"/>
    <w:pPr>
      <w:tabs>
        <w:tab w:val="center" w:pos="4513"/>
        <w:tab w:val="right" w:pos="9026"/>
      </w:tabs>
      <w:snapToGrid w:val="0"/>
    </w:pPr>
  </w:style>
  <w:style w:type="character" w:customStyle="1" w:styleId="Char">
    <w:name w:val="머리글 Char"/>
    <w:basedOn w:val="a0"/>
    <w:link w:val="a7"/>
    <w:uiPriority w:val="99"/>
    <w:rsid w:val="00323FB9"/>
  </w:style>
  <w:style w:type="paragraph" w:styleId="a8">
    <w:name w:val="footer"/>
    <w:basedOn w:val="a"/>
    <w:link w:val="Char0"/>
    <w:uiPriority w:val="99"/>
    <w:unhideWhenUsed/>
    <w:rsid w:val="00323FB9"/>
    <w:pPr>
      <w:tabs>
        <w:tab w:val="center" w:pos="4513"/>
        <w:tab w:val="right" w:pos="9026"/>
      </w:tabs>
      <w:snapToGrid w:val="0"/>
    </w:pPr>
  </w:style>
  <w:style w:type="character" w:customStyle="1" w:styleId="Char0">
    <w:name w:val="바닥글 Char"/>
    <w:basedOn w:val="a0"/>
    <w:link w:val="a8"/>
    <w:uiPriority w:val="99"/>
    <w:rsid w:val="00323F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sites.google.com/view/hyoungkang" TargetMode="External"/><Relationship Id="rId3" Type="http://schemas.openxmlformats.org/officeDocument/2006/relationships/settings" Target="settings.xml"/><Relationship Id="rId7" Type="http://schemas.openxmlformats.org/officeDocument/2006/relationships/hyperlink" Target="mailto:hyoungkang@hanyang.ac.k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797</Words>
  <Characters>4546</Characters>
  <Application>Microsoft Office Word</Application>
  <DocSecurity>0</DocSecurity>
  <Lines>37</Lines>
  <Paragraphs>10</Paragraphs>
  <ScaleCrop>false</ScaleCrop>
  <Company/>
  <LinksUpToDate>false</LinksUpToDate>
  <CharactersWithSpaces>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노상욱</cp:lastModifiedBy>
  <cp:revision>2</cp:revision>
  <dcterms:created xsi:type="dcterms:W3CDTF">2026-04-01T05:26:00Z</dcterms:created>
  <dcterms:modified xsi:type="dcterms:W3CDTF">2026-04-01T05:27:00Z</dcterms:modified>
</cp:coreProperties>
</file>